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0" w:firstLineChars="0"/>
        <w:rPr>
          <w:rFonts w:ascii="华文中宋" w:hAnsi="华文中宋" w:eastAsia="华文中宋" w:cs="黑体"/>
          <w:kern w:val="2"/>
          <w:sz w:val="36"/>
          <w:szCs w:val="36"/>
          <w:lang w:eastAsia="zh-CN"/>
        </w:rPr>
      </w:pPr>
      <w:bookmarkStart w:id="0" w:name="_GoBack"/>
      <w:bookmarkEnd w:id="0"/>
      <w:r>
        <w:rPr>
          <w:rFonts w:hint="eastAsia" w:ascii="华文中宋" w:hAnsi="华文中宋" w:eastAsia="华文中宋" w:cs="黑体"/>
          <w:kern w:val="2"/>
          <w:sz w:val="36"/>
          <w:szCs w:val="36"/>
          <w:lang w:eastAsia="zh-CN"/>
        </w:rPr>
        <w:t>附件2：</w:t>
      </w:r>
    </w:p>
    <w:p>
      <w:pPr>
        <w:pStyle w:val="2"/>
        <w:ind w:firstLine="0" w:firstLineChars="0"/>
        <w:jc w:val="center"/>
        <w:rPr>
          <w:rFonts w:ascii="华文中宋" w:hAnsi="华文中宋" w:eastAsia="华文中宋" w:cs="黑体"/>
          <w:kern w:val="2"/>
          <w:sz w:val="36"/>
          <w:szCs w:val="36"/>
          <w:lang w:eastAsia="zh-CN"/>
        </w:rPr>
      </w:pPr>
      <w:r>
        <w:rPr>
          <w:rFonts w:hint="eastAsia" w:ascii="华文中宋" w:hAnsi="华文中宋" w:eastAsia="华文中宋" w:cs="黑体"/>
          <w:kern w:val="2"/>
          <w:sz w:val="36"/>
          <w:szCs w:val="36"/>
          <w:lang w:eastAsia="zh-CN"/>
        </w:rPr>
        <w:t>湖南科技大学潇湘学院2023年度企业仿真运营竞赛规则</w:t>
      </w:r>
    </w:p>
    <w:p>
      <w:pPr>
        <w:spacing w:line="560" w:lineRule="exact"/>
        <w:rPr>
          <w:rFonts w:ascii="仿宋_GB2312" w:hAnsi="Calibri" w:eastAsia="仿宋_GB2312" w:cs="黑体"/>
          <w:b/>
          <w:bCs/>
          <w:sz w:val="32"/>
          <w:szCs w:val="32"/>
          <w:lang w:eastAsia="zh-CN"/>
        </w:rPr>
      </w:pPr>
      <w:r>
        <w:rPr>
          <w:rFonts w:hint="eastAsia" w:ascii="仿宋_GB2312" w:hAnsi="Calibri" w:eastAsia="仿宋_GB2312" w:cs="黑体"/>
          <w:b/>
          <w:bCs/>
          <w:sz w:val="32"/>
          <w:szCs w:val="32"/>
          <w:lang w:eastAsia="zh-CN"/>
        </w:rPr>
        <w:t>一、平台基本架构</w:t>
      </w:r>
    </w:p>
    <w:p>
      <w:pPr>
        <w:pStyle w:val="2"/>
        <w:ind w:firstLine="0" w:firstLineChars="0"/>
        <w:jc w:val="center"/>
      </w:pPr>
      <w:r>
        <w:drawing>
          <wp:inline distT="0" distB="0" distL="114300" distR="114300">
            <wp:extent cx="5603240" cy="3276600"/>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603240" cy="3276600"/>
                    </a:xfrm>
                    <a:prstGeom prst="rect">
                      <a:avLst/>
                    </a:prstGeom>
                    <a:noFill/>
                    <a:ln>
                      <a:noFill/>
                    </a:ln>
                  </pic:spPr>
                </pic:pic>
              </a:graphicData>
            </a:graphic>
          </wp:inline>
        </w:drawing>
      </w:r>
    </w:p>
    <w:p>
      <w:pPr>
        <w:spacing w:line="560" w:lineRule="exact"/>
        <w:rPr>
          <w:rFonts w:ascii="仿宋_GB2312" w:hAnsi="Calibri" w:eastAsia="仿宋_GB2312" w:cs="黑体"/>
          <w:b/>
          <w:bCs/>
          <w:sz w:val="32"/>
          <w:szCs w:val="32"/>
          <w:lang w:eastAsia="zh-CN"/>
        </w:rPr>
      </w:pPr>
      <w:r>
        <w:rPr>
          <w:rFonts w:hint="eastAsia" w:ascii="仿宋_GB2312" w:hAnsi="Calibri" w:eastAsia="仿宋_GB2312" w:cs="黑体"/>
          <w:b/>
          <w:bCs/>
          <w:sz w:val="32"/>
          <w:szCs w:val="32"/>
          <w:lang w:eastAsia="zh-CN"/>
        </w:rPr>
        <w:t>二、平台运营流程</w:t>
      </w:r>
    </w:p>
    <w:p>
      <w:pPr>
        <w:pStyle w:val="2"/>
        <w:ind w:firstLine="0" w:firstLineChars="0"/>
        <w:jc w:val="center"/>
      </w:pPr>
      <w:r>
        <w:drawing>
          <wp:inline distT="0" distB="0" distL="114300" distR="114300">
            <wp:extent cx="5607685" cy="2300605"/>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607685" cy="2300605"/>
                    </a:xfrm>
                    <a:prstGeom prst="rect">
                      <a:avLst/>
                    </a:prstGeom>
                    <a:noFill/>
                    <a:ln>
                      <a:noFill/>
                    </a:ln>
                  </pic:spPr>
                </pic:pic>
              </a:graphicData>
            </a:graphic>
          </wp:inline>
        </w:drawing>
      </w:r>
    </w:p>
    <w:p>
      <w:pPr>
        <w:spacing w:line="560" w:lineRule="exact"/>
        <w:rPr>
          <w:rFonts w:ascii="仿宋_GB2312" w:hAnsi="Calibri" w:eastAsia="仿宋_GB2312" w:cs="黑体"/>
          <w:b/>
          <w:bCs/>
          <w:sz w:val="32"/>
          <w:szCs w:val="32"/>
          <w:lang w:eastAsia="zh-CN"/>
        </w:rPr>
      </w:pPr>
      <w:r>
        <w:rPr>
          <w:rFonts w:hint="eastAsia" w:ascii="仿宋_GB2312" w:hAnsi="Calibri" w:eastAsia="仿宋_GB2312" w:cs="黑体"/>
          <w:b/>
          <w:bCs/>
          <w:sz w:val="32"/>
          <w:szCs w:val="32"/>
          <w:lang w:eastAsia="zh-CN"/>
        </w:rPr>
        <w:t>三、总经办须知</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关于公司筹建阶段主要进行公司正式运营前的各项筹备工作，还未开始正式运营，为设定公平竞争环境，筹备阶段可用资金为系统设定数，不能贷款，原材料单价系统设定为1.5元，研发投入系统设定为至少50万（保证产品能够顺利研发出来，达到合格产品的要求），生产线、原材料、员工工资、招聘费、培训费、研发投入等所有投资之和不能超过系统设定数值（数值为650万）。筹建期即为第0季。</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2、关于公司破产系统设定当公司负债/所有者权益大于等于10时，公司宣告破产，原则上不得继续开展公司运营。</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3、关于经营净现值系统采用了国际惯用的财务管理指标经营净现值（英文名Net Present Value，简称NPV）来衡量公司一定周期内的经营绩效。</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drawing>
          <wp:inline distT="0" distB="0" distL="114300" distR="114300">
            <wp:extent cx="4911725" cy="731520"/>
            <wp:effectExtent l="0" t="0" r="317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4911725" cy="731520"/>
                    </a:xfrm>
                    <a:prstGeom prst="rect">
                      <a:avLst/>
                    </a:prstGeom>
                    <a:noFill/>
                    <a:ln>
                      <a:noFill/>
                    </a:ln>
                  </pic:spPr>
                </pic:pic>
              </a:graphicData>
            </a:graphic>
          </wp:inline>
        </w:drawing>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其中，k表示折现率，由指导教师根据具体情况设置，n表示经营季度数。</w:t>
      </w:r>
    </w:p>
    <w:p>
      <w:pPr>
        <w:spacing w:line="560" w:lineRule="exact"/>
        <w:rPr>
          <w:rFonts w:ascii="仿宋_GB2312" w:hAnsi="Calibri" w:eastAsia="仿宋_GB2312" w:cs="黑体"/>
          <w:b/>
          <w:bCs/>
          <w:sz w:val="32"/>
          <w:szCs w:val="32"/>
          <w:lang w:eastAsia="zh-CN"/>
        </w:rPr>
      </w:pPr>
      <w:r>
        <w:rPr>
          <w:rFonts w:hint="eastAsia" w:ascii="仿宋_GB2312" w:hAnsi="Calibri" w:eastAsia="仿宋_GB2312" w:cs="黑体"/>
          <w:b/>
          <w:bCs/>
          <w:sz w:val="32"/>
          <w:szCs w:val="32"/>
          <w:lang w:eastAsia="zh-CN"/>
        </w:rPr>
        <w:t>四、市场部须知</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1、关于招投标</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1）中标订单量为某市场的中标订单量等于该市场中标的各个采购需求之和。</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2）招投标销量：当某市场产品投放量和库存量大于等于中标订单量时，招投标销量等于中标订单量，剩余产品满足零售渠道的销售:当某市场产品投放量和库存量小于中标订单量时，招投标销量等于能够满足的中标订单量之和，按照中标的时间先后顺序满足中标订单。</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3）订单违约：当某市场产品投放量和库存量小于中标订单量时，则发生违约行为，扣除相应订单的履约保证金，同时下一季不能在该市场参与投标活动。</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4）招投标费用每参加一次招投标会产生相应费用，如：购买标书费、标书打印费、交通费、劳务费等，招投标费用按照一次1000元计算。投标保证金一般按照招标项目采购预算金额的2%收取。履约保证金一般按照中标合同金额的10%收取。</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2、关于定价</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系统设定产品价格区间，在此区间范围内，产品可以自主定价，一般来讲，价格越高，市场需求越小，价格越低，市场需求越大。本次系统设定的价格区间为[5元，9元]。</w:t>
      </w:r>
    </w:p>
    <w:p>
      <w:pPr>
        <w:numPr>
          <w:ilvl w:val="0"/>
          <w:numId w:val="1"/>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关于营销投入</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投入营销费用可以提高品牌知名度，费用投入遵循边际效用递减规律。一般来讲，产品品牌知名度越高，市场需求越大，产品品牌知名度越低，市场需求越小。营销费用存在一定的递延效果，80%的营销效果在本季产生，20%的营销效果则在下一季产生。</w:t>
      </w:r>
    </w:p>
    <w:p>
      <w:pPr>
        <w:numPr>
          <w:ilvl w:val="0"/>
          <w:numId w:val="1"/>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关于销售量</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销售量大小取决于三个方面:市场需求量、实际产品投放量和库存量、客服人员数量。本季销售总量等于各个市场的销量之和。</w:t>
      </w:r>
    </w:p>
    <w:p>
      <w:pPr>
        <w:numPr>
          <w:ilvl w:val="0"/>
          <w:numId w:val="1"/>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关于市场占有率</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市场占有率分为各公司总的市场占有率和各公司各市场的市场占有率，按照销量计算。上季市场占有率对本季市场需求量有影响，上季市场占有率越高，本季市场需求量将会越多，反之越少。</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6、关于经济增长指数</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经济增长指数越高，说明经济环境越好，市场购买力越强，市场需求量相应越大。反之亦然。</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7、关于物价指数</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消费者物价指数越高，说明市场物价越高，将会影响消费者的购买热情，市场购买力下降，市场需求量相应减少。反之亦然。</w:t>
      </w:r>
    </w:p>
    <w:p>
      <w:pPr>
        <w:numPr>
          <w:ilvl w:val="0"/>
          <w:numId w:val="2"/>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关于季节指数</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季节指数越高，说明该季节越是销售的旺季，市场购买力越强，市场需求量相应越大。反之亦然。</w:t>
      </w:r>
    </w:p>
    <w:p>
      <w:pPr>
        <w:numPr>
          <w:ilvl w:val="0"/>
          <w:numId w:val="2"/>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关于产品生命周期</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产品生命周期分为:导入、成长、成熟和衰退四个阶段。按成长快慢分为:高成长，中成长，低成长。产品生命周期指数越高，说明产品越成熟，市场购买力越强，市场需求量相应越大。反之亦然。</w:t>
      </w:r>
    </w:p>
    <w:p>
      <w:pPr>
        <w:spacing w:line="560" w:lineRule="exact"/>
        <w:rPr>
          <w:rFonts w:ascii="仿宋_GB2312" w:hAnsi="Calibri" w:eastAsia="仿宋_GB2312" w:cs="黑体"/>
          <w:b/>
          <w:bCs/>
          <w:sz w:val="32"/>
          <w:szCs w:val="32"/>
          <w:lang w:eastAsia="zh-CN"/>
        </w:rPr>
      </w:pPr>
      <w:r>
        <w:rPr>
          <w:rFonts w:hint="eastAsia" w:ascii="仿宋_GB2312" w:hAnsi="Calibri" w:eastAsia="仿宋_GB2312" w:cs="黑体"/>
          <w:b/>
          <w:bCs/>
          <w:sz w:val="32"/>
          <w:szCs w:val="32"/>
          <w:lang w:eastAsia="zh-CN"/>
        </w:rPr>
        <w:t>五、采购部须知</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1、关于原材料采购成本</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原材料购买是一个商品交易过程，包括选择供应商、商务洽谈、签订买卖合同、物流发货等，因此当季购买的原材料当季不能使用，下季才能使用。原材料价格不是一直不变的，它受市场供求关系的影响不断发生波动，筹备期原材料的初始价格为1.5元；如果当季缺少原材料可非正常采购，但是非正常采购原材料的成本较高，每个原材料在当前市场价格的基础上需要额外支付费用1.0元，非正常采购的原材料当季可以使用。</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2、关于原材料采购产生费用</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订购原材料过程中会产生订购手续费、运费等相关费用原材料订购数量1-500,000单位，产生40,000元费用；原材料订购数量500,001-1,000,000单位，产生80,000元费用；原材料订购数量1,000,001-1,500,000单位，产生120,000元费用；原材料订购数量1,500,001-2,000,000单位，产生160,000元费用；原材料订购数量2,000,001单位以上，产生200,000元费用。</w:t>
      </w:r>
    </w:p>
    <w:p>
      <w:pPr>
        <w:numPr>
          <w:ilvl w:val="0"/>
          <w:numId w:val="3"/>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关于生产线成本</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生产线购买是一个商品交易过程，包括选择供应商、商务洽谈、签订买卖合同、物流发货等，因此当季购买的生产设备当季不能使用，下季才能使用。从第一季开始，每次购买生产线的投资支出不能超过所有者权益的1/3，系统设定每条新生产线费用为50万。</w:t>
      </w:r>
    </w:p>
    <w:p>
      <w:pPr>
        <w:numPr>
          <w:ilvl w:val="0"/>
          <w:numId w:val="3"/>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关于生产线维护费用</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为保证生产线正常运行，会产生日常维修、保养等维护费用。按照生产线数量来计算，生产设备维护费用=单条生产线维护费用×生产线数量，系统设定单条生产线维护费用=12000元。</w:t>
      </w:r>
    </w:p>
    <w:p>
      <w:pPr>
        <w:numPr>
          <w:ilvl w:val="0"/>
          <w:numId w:val="3"/>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关于生产线订购过程中产生的费用</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购买生产线所产生的相关费用（包含运费、保险费、安装调试费等费用）。按照生产线数量计算订购费用，单条生产线订购费用为10万元。</w:t>
      </w:r>
    </w:p>
    <w:p>
      <w:pPr>
        <w:spacing w:line="560" w:lineRule="exact"/>
        <w:rPr>
          <w:rFonts w:ascii="仿宋_GB2312" w:hAnsi="Calibri" w:eastAsia="仿宋_GB2312" w:cs="黑体"/>
          <w:b/>
          <w:bCs/>
          <w:sz w:val="32"/>
          <w:szCs w:val="32"/>
          <w:lang w:eastAsia="zh-CN"/>
        </w:rPr>
      </w:pPr>
      <w:r>
        <w:rPr>
          <w:rFonts w:hint="eastAsia" w:ascii="仿宋_GB2312" w:hAnsi="Calibri" w:eastAsia="仿宋_GB2312" w:cs="黑体"/>
          <w:b/>
          <w:bCs/>
          <w:sz w:val="32"/>
          <w:szCs w:val="32"/>
          <w:lang w:eastAsia="zh-CN"/>
        </w:rPr>
        <w:t>六、生产研发部须知</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1、关于实际生产量</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实际生产量大小取决于三个方面:生产线数量(产能)、技术工人数量和原材料数量(原材料库存)。每条新生产线在生产周期内每天按照一个班次能生产的产品数量为5万，生产一个产品需要1.35个原材料。生产线使用一整季后，每季产能会在之前的基础上减少2.5%。</w:t>
      </w:r>
    </w:p>
    <w:p>
      <w:pPr>
        <w:numPr>
          <w:ilvl w:val="0"/>
          <w:numId w:val="4"/>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关于产能和实际产能</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产能指在一个生产周期内所有生产线一天工作8小时(一个班次)的生产量。实际产能指在考虑技术工人和生产线的匹配后，可启用生产线的产能，实际产能=产能×(可启用的生产线数/生产线总数)。</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3、关于生产排班</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产品采用轮班制方式进行生产，即3个生产班次（白班、中班、夜班）轮流生产。白班工作时间为8:00-16:00，中班工作时间为16:00-24:00，夜班工作时间为00:00-8:00。各个班次的管理费用和人工费用不同。</w:t>
      </w:r>
    </w:p>
    <w:p>
      <w:pPr>
        <w:numPr>
          <w:ilvl w:val="0"/>
          <w:numId w:val="4"/>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关于生产加班</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系统设定每个班次的正常工作时间都是8个小时，若1个班次生产无法完成生产任务，可以加班，但是加班时间最多4个小时，夜班不允许再加班。如果加班超过4个小时，则加班取消，需要另外启动下一个班次进行生产。产品生产时，如果启动2个班次(白班、中班)，则第一个班次无需加班；如果启动3个班次(白班、中班和夜班)，则各个班次都无需加班。生产部门可以按照市场需求开展大规模生产，但是每天最多只能按照3个班次轮流生产，在生产周期内最大生产量为产能的3倍。</w:t>
      </w:r>
    </w:p>
    <w:p>
      <w:pPr>
        <w:numPr>
          <w:ilvl w:val="0"/>
          <w:numId w:val="4"/>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关于研发投入</w:t>
      </w:r>
    </w:p>
    <w:p>
      <w:pPr>
        <w:adjustRightInd w:val="0"/>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研发投入包括产品设计、制造工艺流程、部品检验流程、管理流程等内容。投入研发费用可以提高产品质量，费用投入遵循边际效用递减规律。一般来讲，产品质量水平越高，市场需求越大，产品质量水平越低，市场需求越小。研发费用存在递延效果，20%的研发效果在本季产生，80%的研发效果则在下一季产生。</w:t>
      </w:r>
    </w:p>
    <w:p>
      <w:pPr>
        <w:spacing w:line="560" w:lineRule="exact"/>
        <w:rPr>
          <w:rFonts w:ascii="仿宋_GB2312" w:hAnsi="Calibri" w:eastAsia="仿宋_GB2312" w:cs="黑体"/>
          <w:b/>
          <w:bCs/>
          <w:sz w:val="32"/>
          <w:szCs w:val="32"/>
          <w:lang w:eastAsia="zh-CN"/>
        </w:rPr>
      </w:pPr>
      <w:r>
        <w:rPr>
          <w:rFonts w:hint="eastAsia" w:ascii="仿宋_GB2312" w:hAnsi="Calibri" w:eastAsia="仿宋_GB2312" w:cs="黑体"/>
          <w:b/>
          <w:bCs/>
          <w:sz w:val="32"/>
          <w:szCs w:val="32"/>
          <w:lang w:eastAsia="zh-CN"/>
        </w:rPr>
        <w:t>七、物流部须知</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1、关于计划生产量和市场投放量</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公司运营过程中，产品通过物流部投放到各个市场。各个市场的投放量总和与计划生产量相等。产品可能形成存货，在财务报表中，产成品存货价值修正=上季产成品存货价值-本季产成品存货价值。为保管产成品会发生成本，产成品库存持有成本=0.5×季末产成品存货数量。</w:t>
      </w:r>
    </w:p>
    <w:p>
      <w:pPr>
        <w:numPr>
          <w:ilvl w:val="0"/>
          <w:numId w:val="5"/>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关于产品紧急调拨</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物流部结合公司运营需要，可以对产品进行各个市场间的紧急调拨，各个市场间紧急调拨会产生费用，费用包括固定费用和变动费用。紧急调拨费用如下：</w:t>
      </w:r>
    </w:p>
    <w:tbl>
      <w:tblPr>
        <w:tblStyle w:val="4"/>
        <w:tblW w:w="94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9"/>
        <w:gridCol w:w="1984"/>
        <w:gridCol w:w="1984"/>
        <w:gridCol w:w="1984"/>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9445" w:type="dxa"/>
            <w:gridSpan w:val="5"/>
          </w:tcPr>
          <w:p>
            <w:pPr>
              <w:spacing w:line="560" w:lineRule="exact"/>
              <w:ind w:firstLine="643" w:firstLineChars="200"/>
              <w:jc w:val="center"/>
              <w:rPr>
                <w:rFonts w:ascii="仿宋_GB2312" w:hAnsi="Calibri" w:eastAsia="仿宋_GB2312" w:cs="黑体"/>
                <w:sz w:val="32"/>
                <w:szCs w:val="32"/>
                <w:lang w:eastAsia="zh-CN"/>
              </w:rPr>
            </w:pPr>
            <w:r>
              <w:rPr>
                <w:rFonts w:hint="eastAsia" w:ascii="仿宋_GB2312" w:hAnsi="Calibri" w:eastAsia="仿宋_GB2312" w:cs="黑体"/>
                <w:b/>
                <w:bCs/>
                <w:sz w:val="32"/>
                <w:szCs w:val="32"/>
                <w:lang w:eastAsia="zh-CN"/>
              </w:rPr>
              <w:t>各个市场之间的紧急调拨费用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9" w:type="dxa"/>
          </w:tcPr>
          <w:p>
            <w:pPr>
              <w:spacing w:line="560" w:lineRule="exact"/>
              <w:ind w:firstLine="640" w:firstLineChars="200"/>
              <w:jc w:val="center"/>
              <w:rPr>
                <w:rFonts w:ascii="仿宋_GB2312" w:hAnsi="Calibri" w:eastAsia="仿宋_GB2312" w:cs="黑体"/>
                <w:sz w:val="32"/>
                <w:szCs w:val="32"/>
                <w:lang w:eastAsia="zh-CN"/>
              </w:rPr>
            </w:pPr>
          </w:p>
        </w:tc>
        <w:tc>
          <w:tcPr>
            <w:tcW w:w="1984"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华北市场</w:t>
            </w:r>
          </w:p>
        </w:tc>
        <w:tc>
          <w:tcPr>
            <w:tcW w:w="1984"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华中市场</w:t>
            </w:r>
          </w:p>
        </w:tc>
        <w:tc>
          <w:tcPr>
            <w:tcW w:w="1984"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华南市场</w:t>
            </w:r>
          </w:p>
        </w:tc>
        <w:tc>
          <w:tcPr>
            <w:tcW w:w="1984"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华东市场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9"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固定费用（元）</w:t>
            </w:r>
          </w:p>
        </w:tc>
        <w:tc>
          <w:tcPr>
            <w:tcW w:w="1984"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10000</w:t>
            </w:r>
          </w:p>
        </w:tc>
        <w:tc>
          <w:tcPr>
            <w:tcW w:w="1984"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10000</w:t>
            </w:r>
          </w:p>
        </w:tc>
        <w:tc>
          <w:tcPr>
            <w:tcW w:w="1984"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10000</w:t>
            </w:r>
          </w:p>
        </w:tc>
        <w:tc>
          <w:tcPr>
            <w:tcW w:w="1984"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9"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变动费用（元）</w:t>
            </w:r>
          </w:p>
        </w:tc>
        <w:tc>
          <w:tcPr>
            <w:tcW w:w="1984" w:type="dxa"/>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华北-华中：0.4</w:t>
            </w:r>
          </w:p>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华北-华南：0.7</w:t>
            </w:r>
          </w:p>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华北-华东：0.8</w:t>
            </w:r>
          </w:p>
        </w:tc>
        <w:tc>
          <w:tcPr>
            <w:tcW w:w="1984" w:type="dxa"/>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华中-华北：0.4</w:t>
            </w:r>
          </w:p>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华中-华南：</w:t>
            </w:r>
          </w:p>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0.4</w:t>
            </w:r>
          </w:p>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华中-华东：0.5</w:t>
            </w:r>
          </w:p>
        </w:tc>
        <w:tc>
          <w:tcPr>
            <w:tcW w:w="1984" w:type="dxa"/>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华南-华北：0.7</w:t>
            </w:r>
          </w:p>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华南-华中：0.4</w:t>
            </w:r>
          </w:p>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华南-华东：0.4</w:t>
            </w:r>
          </w:p>
        </w:tc>
        <w:tc>
          <w:tcPr>
            <w:tcW w:w="1984" w:type="dxa"/>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华东-华北：0.8</w:t>
            </w:r>
          </w:p>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华东-华中：0.5</w:t>
            </w:r>
          </w:p>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华东-华南：0.4</w:t>
            </w:r>
          </w:p>
        </w:tc>
      </w:tr>
    </w:tbl>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3、关于运输费用</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产品生产出库后，从生产工厂投放到各个市场产生运输费用，系统设定华北、华中、华南和华东市场的单个产品运费分别为：0.4元、0.1元、0.4元、0.5元。</w:t>
      </w:r>
    </w:p>
    <w:p>
      <w:pPr>
        <w:spacing w:line="560" w:lineRule="exact"/>
        <w:rPr>
          <w:rFonts w:ascii="仿宋_GB2312" w:hAnsi="Calibri" w:eastAsia="仿宋_GB2312" w:cs="黑体"/>
          <w:b/>
          <w:bCs/>
          <w:sz w:val="32"/>
          <w:szCs w:val="32"/>
          <w:lang w:eastAsia="zh-CN"/>
        </w:rPr>
      </w:pPr>
      <w:r>
        <w:rPr>
          <w:rFonts w:hint="eastAsia" w:ascii="仿宋_GB2312" w:hAnsi="Calibri" w:eastAsia="仿宋_GB2312" w:cs="黑体"/>
          <w:b/>
          <w:bCs/>
          <w:sz w:val="32"/>
          <w:szCs w:val="32"/>
          <w:lang w:eastAsia="zh-CN"/>
        </w:rPr>
        <w:t>八、人力资源部须知</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1、关于市场客服人员</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为保障市场营销，人资部需要招聘市场客服人员，客服人员数量越多，销售的产品越多。如果市场需求足够大、生产产品数量足够多，但是客服人员数量匹配不足，也无法保证能够销售更多的产品。新招聘客服人员(新员工)在培训期间不能销售产品，市场预计销量和所需客服人员(正式员工)数量之间的基本对应关系为：市场预计销量0-100000所需客服人员（正式员工）1人；市场预计销量100001-200000所需客服人员（正式员工）2人；市场预计销量200001-300000所需客服人员（正式员工）3人；市场预计销量400001-500000所需客服人员（正式员工）4人，以此类推。</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2、关于生产技术工人</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为保证生产线的正常生产，人资部需要招聘技术工人。每条生产线需要配备3个熟练的技术工人(正式员工)，最多可以进行3个班次的生产，最大生产量为产能的3倍。新招聘技术工人(新员工)在培训期间不能操作生产线，只能做一些辅助性工作，包括协助老员工生产、产成品检验、物料盘点、车间整理等相对简单的工作。如果一条生产线无法配齐3个熟练的技术工人，则该生产线不能开启，无法进行产品生产。</w:t>
      </w:r>
    </w:p>
    <w:p>
      <w:pPr>
        <w:numPr>
          <w:ilvl w:val="0"/>
          <w:numId w:val="5"/>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关于员工招聘与培训、一次性安置等费用</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公司每招聘一个工作人员，需要产生人员招聘费用500元。人员培训主要包括客服人员和技术工人的培训，对于新入职的客服人员和技术工人需要进行为期一季度的培训，每人的培训费用为1000元。每解聘一名员工，需要产生一次性生活安置费，其中：客服人员6000元，技术工人5000元。</w:t>
      </w:r>
    </w:p>
    <w:p>
      <w:pPr>
        <w:numPr>
          <w:ilvl w:val="0"/>
          <w:numId w:val="5"/>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关于员工工资</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系统设定各个地区市场客服人员（正式员工）的工资统一为每人3000元/月，一个季度的工资为9000元。新招聘客服人员在培训期间的工资折半，为每人1500元/月，一个季度的工资为4500元，下一个季度转为正式员工。系统设定熟练的技术工人（正式员工）的工资为每人2500元/月，一个季度的工资为7500元；新招聘技术工人在培训期间的工资为每人1250元/月，一个季度的工资为3750元，下一个季度转为正式员工。</w:t>
      </w:r>
    </w:p>
    <w:p>
      <w:pPr>
        <w:spacing w:line="560" w:lineRule="exact"/>
        <w:rPr>
          <w:rFonts w:ascii="仿宋_GB2312" w:hAnsi="Calibri" w:eastAsia="仿宋_GB2312" w:cs="黑体"/>
          <w:b/>
          <w:bCs/>
          <w:sz w:val="32"/>
          <w:szCs w:val="32"/>
          <w:lang w:eastAsia="zh-CN"/>
        </w:rPr>
      </w:pPr>
      <w:r>
        <w:rPr>
          <w:rFonts w:hint="eastAsia" w:ascii="仿宋_GB2312" w:hAnsi="Calibri" w:eastAsia="仿宋_GB2312" w:cs="黑体"/>
          <w:b/>
          <w:bCs/>
          <w:sz w:val="32"/>
          <w:szCs w:val="32"/>
          <w:lang w:eastAsia="zh-CN"/>
        </w:rPr>
        <w:t>九、财务部须知</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1、关于融资业务</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公司正式运营后，可以根据运营需要向银行借款，同时可以根据运营需要进行还款。当借款未还时，每一季会产生银行利息，利息计算详见资产负债表。当季的借款直接到达公司账户，可以在当季直接使用。借款和还款行为发生在季初，银行利息则在季末结算，还款的金额只能从公司账面剩余现金中支出。注意：借款时不能还款，还款时不能借款，借款和还款不能同时进行。</w:t>
      </w:r>
    </w:p>
    <w:p>
      <w:pPr>
        <w:numPr>
          <w:ilvl w:val="0"/>
          <w:numId w:val="6"/>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关于正常和非正常负债</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正常负债指公司运营过程中，出现资金短缺，由财务部与银行合作产生的正常经营性借款。为保障公司能持续经营，系统开通政策性借款自动配给功能，结合公司的综合运营情况，当公司正常经营银行借款数额不够时，系统通过大数据分析按规则自动配给公司借款，产生非正常负债（详见资产负债表）。非正常负债的利息较高，当季非正常负债在下一季按照非正常负债利率计算一次利息之后，非正常负债变为正常负债，之后按照正常负债的利率计算银行利息。在公司经营时，进行合理融资，尽量规避和减少发生非正常负债。</w:t>
      </w:r>
    </w:p>
    <w:p>
      <w:pPr>
        <w:numPr>
          <w:ilvl w:val="0"/>
          <w:numId w:val="6"/>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关于可用现金和红利发放</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系统设定当季销售收入的50%可以在当季直接使用，当季可用现金等于当季销售收入的50%和上季账面剩余现金之和。系统设定当所有者权益超过800万时，才有资格发放红利。</w:t>
      </w:r>
    </w:p>
    <w:p>
      <w:pPr>
        <w:numPr>
          <w:ilvl w:val="0"/>
          <w:numId w:val="6"/>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关于财务费用和税费</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财务费用有正常负债利息和非正常负债利息。正常负债利息=正常负债×(年利率/4)，非正常负债利息=非正常负债×4×(年利率/4)。增值税=[销售收入/（1+增值税率）]×增值税率。附加税=增值税×附加税税率。公司所得税=[销售收入/（1+增值税率）-总成本-附加税]×公司所得税率，其中：总成本=产品成本+销售费用+管理费用+财务费用。相关比率由教师端进行设定。</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5、关于资产负债表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5"/>
        <w:gridCol w:w="4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525" w:type="dxa"/>
            <w:tcBorders>
              <w:top w:val="single" w:color="auto" w:sz="4" w:space="0"/>
              <w:left w:val="single" w:color="auto" w:sz="4" w:space="0"/>
              <w:bottom w:val="single" w:color="auto" w:sz="4" w:space="0"/>
              <w:right w:val="single" w:color="auto" w:sz="4" w:space="0"/>
            </w:tcBorders>
            <w:shd w:val="clear" w:color="auto" w:fill="4F81BD"/>
            <w:vAlign w:val="center"/>
          </w:tcPr>
          <w:p>
            <w:pPr>
              <w:spacing w:line="560" w:lineRule="exact"/>
              <w:jc w:val="center"/>
              <w:rPr>
                <w:rFonts w:ascii="仿宋_GB2312" w:hAnsi="Calibri" w:eastAsia="仿宋_GB2312" w:cs="黑体"/>
                <w:color w:val="FFFFFF"/>
                <w:sz w:val="32"/>
                <w:szCs w:val="32"/>
                <w:lang w:eastAsia="zh-CN"/>
              </w:rPr>
            </w:pPr>
            <w:r>
              <w:rPr>
                <w:rFonts w:hint="eastAsia" w:ascii="仿宋_GB2312" w:hAnsi="Calibri" w:eastAsia="仿宋_GB2312" w:cs="黑体"/>
                <w:color w:val="FFFFFF"/>
                <w:sz w:val="32"/>
                <w:szCs w:val="32"/>
                <w:lang w:eastAsia="zh-CN"/>
              </w:rPr>
              <w:t>科目</w:t>
            </w:r>
          </w:p>
        </w:tc>
        <w:tc>
          <w:tcPr>
            <w:tcW w:w="4526" w:type="dxa"/>
            <w:tcBorders>
              <w:top w:val="single" w:color="4F81BD" w:sz="8" w:space="0"/>
              <w:left w:val="single" w:color="auto" w:sz="4" w:space="0"/>
              <w:bottom w:val="single" w:color="4F81BD" w:sz="8" w:space="0"/>
              <w:right w:val="single" w:color="4F81BD" w:sz="8" w:space="0"/>
            </w:tcBorders>
            <w:shd w:val="clear" w:color="auto" w:fill="4F81BD"/>
          </w:tcPr>
          <w:p>
            <w:pPr>
              <w:spacing w:line="560" w:lineRule="exact"/>
              <w:ind w:firstLine="640" w:firstLineChars="200"/>
              <w:jc w:val="both"/>
              <w:rPr>
                <w:rFonts w:ascii="仿宋_GB2312" w:hAnsi="Calibri" w:eastAsia="仿宋_GB2312" w:cs="黑体"/>
                <w:color w:val="FFFFFF"/>
                <w:sz w:val="32"/>
                <w:szCs w:val="32"/>
                <w:lang w:eastAsia="zh-CN"/>
              </w:rPr>
            </w:pPr>
            <w:r>
              <w:rPr>
                <w:rFonts w:hint="eastAsia" w:ascii="仿宋_GB2312" w:hAnsi="Calibri" w:eastAsia="仿宋_GB2312" w:cs="黑体"/>
                <w:color w:val="FFFFFF"/>
                <w:sz w:val="32"/>
                <w:szCs w:val="32"/>
                <w:lang w:eastAsia="zh-CN"/>
              </w:rPr>
              <w:t>具体说明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tcBorders>
              <w:top w:val="single" w:color="auto" w:sz="4" w:space="0"/>
            </w:tcBorders>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现金</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本季季末公司剩余现金，现金=本季季末现金余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原材料存货</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原材料存货价值=单位原材料成本×季末原材料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产成品存货</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产成品存货价值＝单位产成品价值（一般为4元）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生产设备价值</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生产设备价值=季初生产设备价值-生产线折旧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负债</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包括正常负债和非正常负债。</w:t>
            </w:r>
          </w:p>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当上季季末现金余额+本季现金流量大于等于1/2×销售收入时，非正常负债=0；本季季末现金余额=上季季末现金余额+本季生产线投资额。</w:t>
            </w:r>
          </w:p>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当上季季末现金余额+本季现金流量小于1/2×销售收入时，非正常负债=1/2×销售收入-（上季季末现金余额+本季现金流量）；本季季末现金余额=1/2×销售收入。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所有者权益</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公司资产扣除负债后由所有者享有的剩余权益。</w:t>
            </w:r>
          </w:p>
        </w:tc>
      </w:tr>
    </w:tbl>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6、关于现金流量表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5"/>
        <w:gridCol w:w="4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tcBorders>
              <w:top w:val="single" w:color="auto" w:sz="4" w:space="0"/>
              <w:left w:val="single" w:color="auto" w:sz="4" w:space="0"/>
              <w:bottom w:val="single" w:color="auto" w:sz="4" w:space="0"/>
              <w:right w:val="single" w:color="auto" w:sz="4" w:space="0"/>
            </w:tcBorders>
            <w:shd w:val="clear" w:color="auto" w:fill="4F81BD"/>
            <w:vAlign w:val="center"/>
          </w:tcPr>
          <w:p>
            <w:pPr>
              <w:spacing w:line="560" w:lineRule="exact"/>
              <w:jc w:val="center"/>
              <w:rPr>
                <w:rFonts w:ascii="仿宋_GB2312" w:hAnsi="Calibri" w:eastAsia="仿宋_GB2312" w:cs="黑体"/>
                <w:color w:val="FFFFFF"/>
                <w:sz w:val="32"/>
                <w:szCs w:val="32"/>
                <w:lang w:eastAsia="zh-CN"/>
              </w:rPr>
            </w:pPr>
            <w:r>
              <w:rPr>
                <w:rFonts w:hint="eastAsia" w:ascii="仿宋_GB2312" w:hAnsi="Calibri" w:eastAsia="仿宋_GB2312" w:cs="黑体"/>
                <w:color w:val="FFFFFF"/>
                <w:sz w:val="32"/>
                <w:szCs w:val="32"/>
                <w:lang w:eastAsia="zh-CN"/>
              </w:rPr>
              <w:t>科目</w:t>
            </w:r>
          </w:p>
        </w:tc>
        <w:tc>
          <w:tcPr>
            <w:tcW w:w="4526" w:type="dxa"/>
            <w:tcBorders>
              <w:top w:val="single" w:color="auto" w:sz="4" w:space="0"/>
              <w:left w:val="single" w:color="auto" w:sz="4" w:space="0"/>
              <w:bottom w:val="single" w:color="auto" w:sz="4" w:space="0"/>
              <w:right w:val="single" w:color="auto" w:sz="4" w:space="0"/>
            </w:tcBorders>
            <w:shd w:val="clear" w:color="auto" w:fill="4F81BD"/>
            <w:vAlign w:val="center"/>
          </w:tcPr>
          <w:p>
            <w:pPr>
              <w:spacing w:line="560" w:lineRule="exact"/>
              <w:jc w:val="center"/>
              <w:rPr>
                <w:rFonts w:ascii="仿宋_GB2312" w:hAnsi="Calibri" w:eastAsia="仿宋_GB2312" w:cs="黑体"/>
                <w:color w:val="FFFFFF"/>
                <w:sz w:val="32"/>
                <w:szCs w:val="32"/>
                <w:lang w:eastAsia="zh-CN"/>
              </w:rPr>
            </w:pPr>
            <w:r>
              <w:rPr>
                <w:rFonts w:hint="eastAsia" w:ascii="仿宋_GB2312" w:hAnsi="Calibri" w:eastAsia="仿宋_GB2312" w:cs="黑体"/>
                <w:color w:val="FFFFFF"/>
                <w:sz w:val="32"/>
                <w:szCs w:val="32"/>
                <w:lang w:eastAsia="zh-CN"/>
              </w:rPr>
              <w:t>具体说明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tcBorders>
              <w:top w:val="single" w:color="auto" w:sz="4" w:space="0"/>
            </w:tcBorders>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现金费用支出</w:t>
            </w:r>
          </w:p>
        </w:tc>
        <w:tc>
          <w:tcPr>
            <w:tcW w:w="4526" w:type="dxa"/>
            <w:tcBorders>
              <w:top w:val="single" w:color="auto" w:sz="4" w:space="0"/>
            </w:tcBorders>
            <w:vAlign w:val="center"/>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现金费用支出指本季利润表中所有支出项，除去原材料耗用、生产线折旧和产成品存货价值修正。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购料支出</w:t>
            </w:r>
          </w:p>
        </w:tc>
        <w:tc>
          <w:tcPr>
            <w:tcW w:w="4526" w:type="dxa"/>
            <w:vAlign w:val="center"/>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购买原材料所花费的现金。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生产线投资支出</w:t>
            </w:r>
          </w:p>
        </w:tc>
        <w:tc>
          <w:tcPr>
            <w:tcW w:w="4526" w:type="dxa"/>
            <w:vAlign w:val="center"/>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购买生产设备所花费的现金。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本季现金流量</w:t>
            </w:r>
          </w:p>
        </w:tc>
        <w:tc>
          <w:tcPr>
            <w:tcW w:w="4526" w:type="dxa"/>
            <w:vAlign w:val="center"/>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本季现金流量=流入现金-流出现金。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季末现金余额</w:t>
            </w:r>
          </w:p>
        </w:tc>
        <w:tc>
          <w:tcPr>
            <w:tcW w:w="4526" w:type="dxa"/>
            <w:vAlign w:val="center"/>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本季季末现金余额=上季季末现金余额+本季现金流量。</w:t>
            </w:r>
          </w:p>
        </w:tc>
      </w:tr>
    </w:tbl>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7、关于利润表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5"/>
        <w:gridCol w:w="4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科目</w:t>
            </w:r>
          </w:p>
        </w:tc>
        <w:tc>
          <w:tcPr>
            <w:tcW w:w="4526"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具体说明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销售收入</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某市场销售收入=价格×销售量。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其它收入</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包括返还的投标保证金、履约保证金。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研发费用</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投入研发费用可以提高产品的质量。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班次管理费用</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各个生产班次有相应的固定管理费用，具体如下所示：</w:t>
            </w:r>
          </w:p>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如果0&lt;生产量≤1.5倍产能，那么启动一个班次（白班），相应的班次管理费用为10000元；</w:t>
            </w:r>
          </w:p>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如果1.5倍产能&lt;生产量≤2.5倍产能，那么启动两个班次（白班、中班），相应的班次管理费用为15000元；</w:t>
            </w:r>
          </w:p>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如果2.5倍产能&lt;生产量≤3倍产能，那么启动三个</w:t>
            </w:r>
          </w:p>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班次（白班、中班和夜班），相应的班次管理费用为20000元。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人工费用</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为生产本季产品所花费的人工成本，不同班次的单位人工成本不同，单位成本指在某一班次生产单位产品的人工成本，具体如下所示：白班单位人工成本为1.2元；白班加班单位人工成本为1.3元；中班单位人工成本为1.4元；中班加班单位人工成本为1.5元；夜班单位人工成本为1.6元。</w:t>
            </w:r>
          </w:p>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人工费用=单位人工成本×生产数量。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原材料耗用</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为生产本季产品所花费的材料成本，原材料耗用=单位材料成本×耗用原材料数量，单位材料成本=(当季购料金额+上季原材料存货价值)/(当季购料数量+上季原材料存货量)。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原材料订购成本</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订购原材料过程中所产生的相关费用（含订购手续费、运费等）。详细见采购部须知。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原材料非正常采购费用</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当发生原材料非正常采购时，每个原材料在当前市场价格的基础上需要额外支付非正常采购费用1.0元，非正常采购的原材料当季可以使用。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生产线维护费用</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保证生产线正常运行所花费的日常维修保养费用。</w:t>
            </w:r>
          </w:p>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按照生产线数量来计算，生产线维护费用=单条生产线维护费用×生产线数量，单条生产线维护费用=12000元。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生产线订购成本</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购买生产线设备所产生的费用（包含运费、保险费、安装调试费等费用）。按照生产线数量计算订购成本，单条生产线订购成本为10万元。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生产线折旧</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生产线折旧每季都以2.5%的比例进行，生产线折旧=季初设备帐面价值×2.5%。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产成品存货价值修正</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产成品存货价值修正=上季产成品存货价值-本季产成品存货价值。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招投标费用</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每参加一次招投标会产生相应费用，如：购买标书费、标书打印费、交通费、劳务费等，招投标费用按照一次1000元计算。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投标保证金</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投标保证金一般按照招标项目采购预算金额的2%收取。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履约保证金</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履约保证金一般按照中标合同金额的10%收取。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营销费用</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华北、华中、华南和华东市场的总营销费用，投入营销费用可以提高产品的品牌知名度。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运输费用</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从生产工厂到各个市场的运输费用，华北、华中、华南和华东市场的单个产品运费分别为：0.4元、0.1元、0.4元、0.5元。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紧急调拨费用</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具体费用详见物流部须知。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招聘费</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每招聘一个工作人员，需要支付人员招聘费用500元。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培训费</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人员培训主要包括客服人员和技术工人的培训。对于新入职的客服人员和技工人需要进行为期一季度的培训，每人的培训费用为1000元。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员工工资</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详见人力资源部须知。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一次性生活安置费</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客服人员6000元；技术工人5000元。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原材料仓储费用</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为保管原材料所发生的成本，原物料库存持有成本=季初原物料存货价值×10%。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产成品仓储费用</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为保管产成品所发生的成本，产成品库存持有成本=0.5×季末产成品存货数量。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银行利息</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正常负债利息=正常负债×(年利率/4)，非正常负债利息=非正常负债×4×(年利率/4)。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增值税</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增值税=[销售收入/（1+增值税率）]×增值税率。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附加税</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附加税=增值税×附加税税率。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公司所得税</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公司所得税=[销售收入/（1+增值税率）-总成本-附加税]×公司所得税率。其中：总成本=产品成本+销售费用+管理费用+财务费用。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净利润</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净利润=销售收入-产品成本-销售费用-管理费用-财务费用-税费。</w:t>
            </w:r>
          </w:p>
        </w:tc>
      </w:tr>
    </w:tbl>
    <w:p>
      <w:pPr>
        <w:spacing w:line="560" w:lineRule="exact"/>
        <w:rPr>
          <w:rFonts w:ascii="仿宋_GB2312" w:hAnsi="Calibri" w:eastAsia="仿宋_GB2312" w:cs="黑体"/>
          <w:b/>
          <w:bCs/>
          <w:sz w:val="32"/>
          <w:szCs w:val="32"/>
          <w:lang w:eastAsia="zh-CN"/>
        </w:rPr>
      </w:pPr>
      <w:r>
        <w:rPr>
          <w:rFonts w:hint="eastAsia" w:ascii="仿宋_GB2312" w:hAnsi="Calibri" w:eastAsia="仿宋_GB2312" w:cs="黑体"/>
          <w:b/>
          <w:bCs/>
          <w:sz w:val="32"/>
          <w:szCs w:val="32"/>
          <w:lang w:eastAsia="zh-CN"/>
        </w:rPr>
        <w:t>十、评分标准说明</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1、关于评分指标评分标准包括4个一级指标和8个二级指标，具体如下：</w:t>
      </w:r>
    </w:p>
    <w:tbl>
      <w:tblPr>
        <w:tblStyle w:val="3"/>
        <w:tblW w:w="0" w:type="auto"/>
        <w:tblInd w:w="161" w:type="dxa"/>
        <w:tblLayout w:type="fixed"/>
        <w:tblCellMar>
          <w:top w:w="0" w:type="dxa"/>
          <w:left w:w="0" w:type="dxa"/>
          <w:bottom w:w="0" w:type="dxa"/>
          <w:right w:w="0" w:type="dxa"/>
        </w:tblCellMar>
      </w:tblPr>
      <w:tblGrid>
        <w:gridCol w:w="1811"/>
        <w:gridCol w:w="2273"/>
        <w:gridCol w:w="4404"/>
      </w:tblGrid>
      <w:tr>
        <w:tblPrEx>
          <w:tblCellMar>
            <w:top w:w="0" w:type="dxa"/>
            <w:left w:w="0" w:type="dxa"/>
            <w:bottom w:w="0" w:type="dxa"/>
            <w:right w:w="0" w:type="dxa"/>
          </w:tblCellMar>
        </w:tblPrEx>
        <w:trPr>
          <w:trHeight w:val="2654" w:hRule="exact"/>
        </w:trPr>
        <w:tc>
          <w:tcPr>
            <w:tcW w:w="1811"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一级指标（满分值）</w:t>
            </w:r>
          </w:p>
        </w:tc>
        <w:tc>
          <w:tcPr>
            <w:tcW w:w="2273"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二级指标</w:t>
            </w:r>
          </w:p>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（满分值）</w:t>
            </w:r>
          </w:p>
        </w:tc>
        <w:tc>
          <w:tcPr>
            <w:tcW w:w="4404"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指标说明</w:t>
            </w:r>
          </w:p>
        </w:tc>
      </w:tr>
      <w:tr>
        <w:tblPrEx>
          <w:tblCellMar>
            <w:top w:w="0" w:type="dxa"/>
            <w:left w:w="0" w:type="dxa"/>
            <w:bottom w:w="0" w:type="dxa"/>
            <w:right w:w="0" w:type="dxa"/>
          </w:tblCellMar>
        </w:tblPrEx>
        <w:trPr>
          <w:trHeight w:val="2045" w:hRule="exact"/>
        </w:trPr>
        <w:tc>
          <w:tcPr>
            <w:tcW w:w="1811"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盈利能力（80分）</w:t>
            </w:r>
          </w:p>
        </w:tc>
        <w:tc>
          <w:tcPr>
            <w:tcW w:w="2273"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净现值（80分）</w:t>
            </w:r>
          </w:p>
        </w:tc>
        <w:tc>
          <w:tcPr>
            <w:tcW w:w="4404" w:type="dxa"/>
            <w:tcBorders>
              <w:top w:val="single" w:color="000000" w:sz="4" w:space="0"/>
              <w:left w:val="single" w:color="000000" w:sz="4" w:space="0"/>
              <w:bottom w:val="single" w:color="000000" w:sz="4" w:space="0"/>
              <w:right w:val="single" w:color="000000" w:sz="4" w:space="0"/>
            </w:tcBorders>
            <w:vAlign w:val="center"/>
          </w:tcPr>
          <w:p>
            <w:pPr>
              <w:pStyle w:val="2"/>
              <w:ind w:firstLine="64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净现值越大，公司盈利能力越强。</w:t>
            </w:r>
          </w:p>
        </w:tc>
      </w:tr>
      <w:tr>
        <w:tblPrEx>
          <w:tblCellMar>
            <w:top w:w="0" w:type="dxa"/>
            <w:left w:w="0" w:type="dxa"/>
            <w:bottom w:w="0" w:type="dxa"/>
            <w:right w:w="0" w:type="dxa"/>
          </w:tblCellMar>
        </w:tblPrEx>
        <w:trPr>
          <w:trHeight w:val="1854" w:hRule="exact"/>
        </w:trPr>
        <w:tc>
          <w:tcPr>
            <w:tcW w:w="1811"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偿债能力</w:t>
            </w:r>
          </w:p>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（5分）</w:t>
            </w:r>
          </w:p>
        </w:tc>
        <w:tc>
          <w:tcPr>
            <w:tcW w:w="2273"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资产负债率</w:t>
            </w:r>
          </w:p>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（5分）</w:t>
            </w:r>
          </w:p>
        </w:tc>
        <w:tc>
          <w:tcPr>
            <w:tcW w:w="4404" w:type="dxa"/>
            <w:tcBorders>
              <w:top w:val="single" w:color="000000" w:sz="4" w:space="0"/>
              <w:left w:val="single" w:color="000000" w:sz="4" w:space="0"/>
              <w:bottom w:val="single" w:color="000000" w:sz="4" w:space="0"/>
              <w:right w:val="single" w:color="000000" w:sz="4" w:space="0"/>
            </w:tcBorders>
            <w:vAlign w:val="center"/>
          </w:tcPr>
          <w:p>
            <w:pPr>
              <w:pStyle w:val="2"/>
              <w:ind w:firstLine="64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资产负债率=总负债/总资产，资产负债率高低衡量公司偿债能力强弱。</w:t>
            </w:r>
          </w:p>
        </w:tc>
      </w:tr>
      <w:tr>
        <w:tblPrEx>
          <w:tblCellMar>
            <w:top w:w="0" w:type="dxa"/>
            <w:left w:w="0" w:type="dxa"/>
            <w:bottom w:w="0" w:type="dxa"/>
            <w:right w:w="0" w:type="dxa"/>
          </w:tblCellMar>
        </w:tblPrEx>
        <w:trPr>
          <w:trHeight w:val="1372" w:hRule="exact"/>
        </w:trPr>
        <w:tc>
          <w:tcPr>
            <w:tcW w:w="1811" w:type="dxa"/>
            <w:vMerge w:val="restart"/>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发展潜力</w:t>
            </w:r>
          </w:p>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（10分）</w:t>
            </w:r>
          </w:p>
        </w:tc>
        <w:tc>
          <w:tcPr>
            <w:tcW w:w="2273"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研发投入</w:t>
            </w:r>
          </w:p>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（3分）</w:t>
            </w:r>
          </w:p>
        </w:tc>
        <w:tc>
          <w:tcPr>
            <w:tcW w:w="4404" w:type="dxa"/>
            <w:tcBorders>
              <w:top w:val="single" w:color="000000" w:sz="4" w:space="0"/>
              <w:left w:val="single" w:color="000000" w:sz="4" w:space="0"/>
              <w:bottom w:val="single" w:color="000000" w:sz="4" w:space="0"/>
              <w:right w:val="single" w:color="000000" w:sz="4" w:space="0"/>
            </w:tcBorders>
            <w:vAlign w:val="center"/>
          </w:tcPr>
          <w:p>
            <w:pPr>
              <w:pStyle w:val="2"/>
              <w:ind w:firstLine="64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研发投入效果通过产品质量水平高低来衡量</w:t>
            </w:r>
          </w:p>
        </w:tc>
      </w:tr>
      <w:tr>
        <w:tblPrEx>
          <w:tblCellMar>
            <w:top w:w="0" w:type="dxa"/>
            <w:left w:w="0" w:type="dxa"/>
            <w:bottom w:w="0" w:type="dxa"/>
            <w:right w:w="0" w:type="dxa"/>
          </w:tblCellMar>
        </w:tblPrEx>
        <w:trPr>
          <w:trHeight w:val="1368" w:hRule="exact"/>
        </w:trPr>
        <w:tc>
          <w:tcPr>
            <w:tcW w:w="1811" w:type="dxa"/>
            <w:vMerge w:val="continue"/>
            <w:tcBorders>
              <w:top w:val="single" w:color="000000" w:sz="4" w:space="0"/>
              <w:left w:val="single" w:color="000000" w:sz="4" w:space="0"/>
              <w:bottom w:val="single" w:color="000000" w:sz="4" w:space="0"/>
              <w:right w:val="single" w:color="000000" w:sz="4" w:space="0"/>
            </w:tcBorders>
            <w:vAlign w:val="center"/>
          </w:tcPr>
          <w:p>
            <w:pPr>
              <w:pStyle w:val="2"/>
              <w:ind w:firstLine="640"/>
              <w:jc w:val="center"/>
              <w:rPr>
                <w:rFonts w:ascii="仿宋_GB2312" w:hAnsi="Calibri" w:eastAsia="仿宋_GB2312" w:cs="黑体"/>
                <w:sz w:val="32"/>
                <w:szCs w:val="32"/>
                <w:lang w:eastAsia="zh-CN"/>
              </w:rPr>
            </w:pPr>
          </w:p>
        </w:tc>
        <w:tc>
          <w:tcPr>
            <w:tcW w:w="2273"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营销投入</w:t>
            </w:r>
          </w:p>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（3分）</w:t>
            </w:r>
          </w:p>
        </w:tc>
        <w:tc>
          <w:tcPr>
            <w:tcW w:w="4404" w:type="dxa"/>
            <w:tcBorders>
              <w:top w:val="single" w:color="000000" w:sz="4" w:space="0"/>
              <w:left w:val="single" w:color="000000" w:sz="4" w:space="0"/>
              <w:bottom w:val="single" w:color="000000" w:sz="4" w:space="0"/>
              <w:right w:val="single" w:color="000000" w:sz="4" w:space="0"/>
            </w:tcBorders>
            <w:vAlign w:val="center"/>
          </w:tcPr>
          <w:p>
            <w:pPr>
              <w:pStyle w:val="2"/>
              <w:ind w:firstLine="64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营销投入效果通过产品品牌知名度高低来衡量。</w:t>
            </w:r>
          </w:p>
        </w:tc>
      </w:tr>
      <w:tr>
        <w:tblPrEx>
          <w:tblCellMar>
            <w:top w:w="0" w:type="dxa"/>
            <w:left w:w="0" w:type="dxa"/>
            <w:bottom w:w="0" w:type="dxa"/>
            <w:right w:w="0" w:type="dxa"/>
          </w:tblCellMar>
        </w:tblPrEx>
        <w:trPr>
          <w:trHeight w:val="1368" w:hRule="exact"/>
        </w:trPr>
        <w:tc>
          <w:tcPr>
            <w:tcW w:w="1811" w:type="dxa"/>
            <w:vMerge w:val="continue"/>
            <w:tcBorders>
              <w:top w:val="single" w:color="000000" w:sz="4" w:space="0"/>
              <w:left w:val="single" w:color="000000" w:sz="4" w:space="0"/>
              <w:bottom w:val="single" w:color="000000" w:sz="4" w:space="0"/>
              <w:right w:val="single" w:color="000000" w:sz="4" w:space="0"/>
            </w:tcBorders>
            <w:vAlign w:val="center"/>
          </w:tcPr>
          <w:p>
            <w:pPr>
              <w:pStyle w:val="2"/>
              <w:ind w:firstLine="640"/>
              <w:jc w:val="center"/>
              <w:rPr>
                <w:rFonts w:ascii="仿宋_GB2312" w:hAnsi="Calibri" w:eastAsia="仿宋_GB2312" w:cs="黑体"/>
                <w:sz w:val="32"/>
                <w:szCs w:val="32"/>
                <w:lang w:eastAsia="zh-CN"/>
              </w:rPr>
            </w:pPr>
          </w:p>
        </w:tc>
        <w:tc>
          <w:tcPr>
            <w:tcW w:w="2273"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市场潜力</w:t>
            </w:r>
          </w:p>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（4分）</w:t>
            </w:r>
          </w:p>
        </w:tc>
        <w:tc>
          <w:tcPr>
            <w:tcW w:w="4404" w:type="dxa"/>
            <w:tcBorders>
              <w:top w:val="single" w:color="000000" w:sz="4" w:space="0"/>
              <w:left w:val="single" w:color="000000" w:sz="4" w:space="0"/>
              <w:bottom w:val="single" w:color="000000" w:sz="4" w:space="0"/>
              <w:right w:val="single" w:color="000000" w:sz="4" w:space="0"/>
            </w:tcBorders>
          </w:tcPr>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市场潜力通过公司市场占有率高低来衡量。</w:t>
            </w:r>
          </w:p>
        </w:tc>
      </w:tr>
      <w:tr>
        <w:tblPrEx>
          <w:tblCellMar>
            <w:top w:w="0" w:type="dxa"/>
            <w:left w:w="0" w:type="dxa"/>
            <w:bottom w:w="0" w:type="dxa"/>
            <w:right w:w="0" w:type="dxa"/>
          </w:tblCellMar>
        </w:tblPrEx>
        <w:trPr>
          <w:trHeight w:val="1368" w:hRule="exact"/>
        </w:trPr>
        <w:tc>
          <w:tcPr>
            <w:tcW w:w="1811" w:type="dxa"/>
            <w:vMerge w:val="restart"/>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团队表现</w:t>
            </w:r>
          </w:p>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（满分5分，采用扣分制）</w:t>
            </w:r>
          </w:p>
        </w:tc>
        <w:tc>
          <w:tcPr>
            <w:tcW w:w="2273"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采购表现</w:t>
            </w:r>
          </w:p>
        </w:tc>
        <w:tc>
          <w:tcPr>
            <w:tcW w:w="4404" w:type="dxa"/>
            <w:tcBorders>
              <w:top w:val="single" w:color="000000" w:sz="4" w:space="0"/>
              <w:left w:val="single" w:color="000000" w:sz="4" w:space="0"/>
              <w:bottom w:val="single" w:color="000000" w:sz="4" w:space="0"/>
              <w:right w:val="single" w:color="000000" w:sz="4" w:space="0"/>
            </w:tcBorders>
          </w:tcPr>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是否出现原材料非正常采购，每次扣0.2分。</w:t>
            </w:r>
          </w:p>
        </w:tc>
      </w:tr>
      <w:tr>
        <w:tblPrEx>
          <w:tblCellMar>
            <w:top w:w="0" w:type="dxa"/>
            <w:left w:w="0" w:type="dxa"/>
            <w:bottom w:w="0" w:type="dxa"/>
            <w:right w:w="0" w:type="dxa"/>
          </w:tblCellMar>
        </w:tblPrEx>
        <w:trPr>
          <w:trHeight w:val="1754" w:hRule="exact"/>
        </w:trPr>
        <w:tc>
          <w:tcPr>
            <w:tcW w:w="1811" w:type="dxa"/>
            <w:vMerge w:val="continue"/>
            <w:tcBorders>
              <w:top w:val="single" w:color="000000" w:sz="4" w:space="0"/>
              <w:left w:val="single" w:color="000000" w:sz="4" w:space="0"/>
              <w:bottom w:val="single" w:color="000000" w:sz="4" w:space="0"/>
              <w:right w:val="single" w:color="000000" w:sz="4" w:space="0"/>
            </w:tcBorders>
            <w:vAlign w:val="center"/>
          </w:tcPr>
          <w:p>
            <w:pPr>
              <w:pStyle w:val="2"/>
              <w:ind w:firstLine="640"/>
              <w:jc w:val="center"/>
              <w:rPr>
                <w:rFonts w:ascii="仿宋_GB2312" w:hAnsi="Calibri" w:eastAsia="仿宋_GB2312" w:cs="黑体"/>
                <w:sz w:val="32"/>
                <w:szCs w:val="32"/>
                <w:lang w:eastAsia="zh-CN"/>
              </w:rPr>
            </w:pPr>
          </w:p>
        </w:tc>
        <w:tc>
          <w:tcPr>
            <w:tcW w:w="2273"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生产表现</w:t>
            </w:r>
          </w:p>
        </w:tc>
        <w:tc>
          <w:tcPr>
            <w:tcW w:w="4404" w:type="dxa"/>
            <w:tcBorders>
              <w:top w:val="single" w:color="000000" w:sz="4" w:space="0"/>
              <w:left w:val="single" w:color="000000" w:sz="4" w:space="0"/>
              <w:bottom w:val="single" w:color="000000" w:sz="4" w:space="0"/>
              <w:right w:val="single" w:color="000000" w:sz="4" w:space="0"/>
            </w:tcBorders>
          </w:tcPr>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计划生产量与实际生产量不符（偏离量大于等于10个）每次扣0.5分。</w:t>
            </w:r>
          </w:p>
        </w:tc>
      </w:tr>
      <w:tr>
        <w:tblPrEx>
          <w:tblCellMar>
            <w:top w:w="0" w:type="dxa"/>
            <w:left w:w="0" w:type="dxa"/>
            <w:bottom w:w="0" w:type="dxa"/>
            <w:right w:w="0" w:type="dxa"/>
          </w:tblCellMar>
        </w:tblPrEx>
        <w:trPr>
          <w:trHeight w:val="2978" w:hRule="exact"/>
        </w:trPr>
        <w:tc>
          <w:tcPr>
            <w:tcW w:w="1811" w:type="dxa"/>
            <w:vMerge w:val="continue"/>
            <w:tcBorders>
              <w:top w:val="single" w:color="000000" w:sz="4" w:space="0"/>
              <w:left w:val="single" w:color="000000" w:sz="4" w:space="0"/>
              <w:bottom w:val="single" w:color="000000" w:sz="4" w:space="0"/>
              <w:right w:val="single" w:color="000000" w:sz="4" w:space="0"/>
            </w:tcBorders>
            <w:vAlign w:val="center"/>
          </w:tcPr>
          <w:p>
            <w:pPr>
              <w:pStyle w:val="2"/>
              <w:ind w:firstLine="640"/>
              <w:jc w:val="center"/>
              <w:rPr>
                <w:rFonts w:ascii="仿宋_GB2312" w:hAnsi="Calibri" w:eastAsia="仿宋_GB2312" w:cs="黑体"/>
                <w:sz w:val="32"/>
                <w:szCs w:val="32"/>
                <w:lang w:eastAsia="zh-CN"/>
              </w:rPr>
            </w:pPr>
          </w:p>
        </w:tc>
        <w:tc>
          <w:tcPr>
            <w:tcW w:w="2273" w:type="dxa"/>
            <w:vMerge w:val="restart"/>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财务表现</w:t>
            </w:r>
          </w:p>
        </w:tc>
        <w:tc>
          <w:tcPr>
            <w:tcW w:w="4404" w:type="dxa"/>
            <w:tcBorders>
              <w:top w:val="single" w:color="000000" w:sz="4" w:space="0"/>
              <w:left w:val="single" w:color="000000" w:sz="4" w:space="0"/>
              <w:bottom w:val="single" w:color="000000" w:sz="4" w:space="0"/>
              <w:right w:val="single" w:color="000000" w:sz="4" w:space="0"/>
            </w:tcBorders>
          </w:tcPr>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非正常负债数值（万元）按区间分次扣分如下：（50，100]扣0.05分；（100，200]扣0.10分；（200，+∞）扣0.15分。</w:t>
            </w:r>
          </w:p>
        </w:tc>
      </w:tr>
      <w:tr>
        <w:tblPrEx>
          <w:tblCellMar>
            <w:top w:w="0" w:type="dxa"/>
            <w:left w:w="0" w:type="dxa"/>
            <w:bottom w:w="0" w:type="dxa"/>
            <w:right w:w="0" w:type="dxa"/>
          </w:tblCellMar>
        </w:tblPrEx>
        <w:trPr>
          <w:trHeight w:val="2688" w:hRule="exact"/>
        </w:trPr>
        <w:tc>
          <w:tcPr>
            <w:tcW w:w="1811" w:type="dxa"/>
            <w:vMerge w:val="continue"/>
            <w:tcBorders>
              <w:top w:val="single" w:color="000000" w:sz="4" w:space="0"/>
              <w:left w:val="single" w:color="000000" w:sz="4" w:space="0"/>
              <w:bottom w:val="single" w:color="000000" w:sz="4" w:space="0"/>
              <w:right w:val="single" w:color="000000" w:sz="4" w:space="0"/>
            </w:tcBorders>
          </w:tcPr>
          <w:p>
            <w:pPr>
              <w:pStyle w:val="2"/>
              <w:ind w:firstLine="640"/>
              <w:rPr>
                <w:rFonts w:ascii="仿宋_GB2312" w:hAnsi="Calibri" w:eastAsia="仿宋_GB2312" w:cs="黑体"/>
                <w:sz w:val="32"/>
                <w:szCs w:val="32"/>
                <w:lang w:eastAsia="zh-CN"/>
              </w:rPr>
            </w:pPr>
          </w:p>
        </w:tc>
        <w:tc>
          <w:tcPr>
            <w:tcW w:w="2273" w:type="dxa"/>
            <w:vMerge w:val="continue"/>
            <w:tcBorders>
              <w:top w:val="single" w:color="000000" w:sz="4" w:space="0"/>
              <w:left w:val="single" w:color="000000" w:sz="4" w:space="0"/>
              <w:bottom w:val="single" w:color="000000" w:sz="4" w:space="0"/>
              <w:right w:val="single" w:color="000000" w:sz="4" w:space="0"/>
            </w:tcBorders>
          </w:tcPr>
          <w:p>
            <w:pPr>
              <w:pStyle w:val="2"/>
              <w:ind w:firstLine="640"/>
              <w:rPr>
                <w:rFonts w:ascii="仿宋_GB2312" w:hAnsi="Calibri" w:eastAsia="仿宋_GB2312" w:cs="黑体"/>
                <w:sz w:val="32"/>
                <w:szCs w:val="32"/>
                <w:lang w:eastAsia="zh-CN"/>
              </w:rPr>
            </w:pPr>
          </w:p>
        </w:tc>
        <w:tc>
          <w:tcPr>
            <w:tcW w:w="4404" w:type="dxa"/>
            <w:tcBorders>
              <w:top w:val="single" w:color="000000" w:sz="4" w:space="0"/>
              <w:left w:val="single" w:color="000000" w:sz="4" w:space="0"/>
              <w:bottom w:val="single" w:color="000000" w:sz="4" w:space="0"/>
              <w:right w:val="single" w:color="000000" w:sz="4" w:space="0"/>
            </w:tcBorders>
          </w:tcPr>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借款剩余值（万元）按区间分次扣分如下：（100，200]扣0.05分；（200，300]扣0.10分；（300，+∞）扣0.15分。</w:t>
            </w:r>
          </w:p>
        </w:tc>
      </w:tr>
    </w:tbl>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2、关于盈利能力指标</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净现值越大，公司盈利能力越强，评分越高。</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drawing>
          <wp:inline distT="0" distB="0" distL="114300" distR="114300">
            <wp:extent cx="4911725" cy="731520"/>
            <wp:effectExtent l="0" t="0" r="317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4911725" cy="731520"/>
                    </a:xfrm>
                    <a:prstGeom prst="rect">
                      <a:avLst/>
                    </a:prstGeom>
                    <a:noFill/>
                    <a:ln>
                      <a:noFill/>
                    </a:ln>
                  </pic:spPr>
                </pic:pic>
              </a:graphicData>
            </a:graphic>
          </wp:inline>
        </w:drawing>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其中，k表示折现率，由组委会根据具体情况设置，n表示经营季度数。</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drawing>
          <wp:inline distT="0" distB="0" distL="114300" distR="114300">
            <wp:extent cx="3575050" cy="655320"/>
            <wp:effectExtent l="0" t="0" r="6350" b="19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3575050" cy="655320"/>
                    </a:xfrm>
                    <a:prstGeom prst="rect">
                      <a:avLst/>
                    </a:prstGeom>
                    <a:noFill/>
                    <a:ln>
                      <a:noFill/>
                    </a:ln>
                  </pic:spPr>
                </pic:pic>
              </a:graphicData>
            </a:graphic>
          </wp:inline>
        </w:drawing>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盈利能力评分=净现值评分。</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如果该公司第n季末净现值小于等于0或者第n季末最高净现值小于等于0，则净现值评分为0，盈利能力评分也为0。</w:t>
      </w:r>
    </w:p>
    <w:p>
      <w:pPr>
        <w:pStyle w:val="2"/>
        <w:numPr>
          <w:ilvl w:val="0"/>
          <w:numId w:val="7"/>
        </w:numPr>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关于偿债能力指标</w:t>
      </w:r>
    </w:p>
    <w:p>
      <w:pPr>
        <w:pStyle w:val="2"/>
        <w:adjustRightInd w:val="0"/>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偿债能力由资产负债率衡量，资产负债率应该控制在一定的合理区间，具体评分标准如下：</w:t>
      </w:r>
    </w:p>
    <w:tbl>
      <w:tblPr>
        <w:tblStyle w:val="3"/>
        <w:tblW w:w="9216" w:type="dxa"/>
        <w:tblInd w:w="166" w:type="dxa"/>
        <w:tblLayout w:type="fixed"/>
        <w:tblCellMar>
          <w:top w:w="0" w:type="dxa"/>
          <w:left w:w="0" w:type="dxa"/>
          <w:bottom w:w="0" w:type="dxa"/>
          <w:right w:w="0" w:type="dxa"/>
        </w:tblCellMar>
      </w:tblPr>
      <w:tblGrid>
        <w:gridCol w:w="1846"/>
        <w:gridCol w:w="1474"/>
        <w:gridCol w:w="1474"/>
        <w:gridCol w:w="1474"/>
        <w:gridCol w:w="1474"/>
        <w:gridCol w:w="1474"/>
      </w:tblGrid>
      <w:tr>
        <w:trPr>
          <w:trHeight w:val="1986" w:hRule="exact"/>
        </w:trPr>
        <w:tc>
          <w:tcPr>
            <w:tcW w:w="1846"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资产负债率</w:t>
            </w:r>
          </w:p>
        </w:tc>
        <w:tc>
          <w:tcPr>
            <w:tcW w:w="1474"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[0,0.6]</w:t>
            </w:r>
          </w:p>
        </w:tc>
        <w:tc>
          <w:tcPr>
            <w:tcW w:w="1474"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(0.6,0.7]</w:t>
            </w:r>
          </w:p>
        </w:tc>
        <w:tc>
          <w:tcPr>
            <w:tcW w:w="1474"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(0.7,0.8]</w:t>
            </w:r>
          </w:p>
        </w:tc>
        <w:tc>
          <w:tcPr>
            <w:tcW w:w="1474"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(0.8,0.9]</w:t>
            </w:r>
          </w:p>
        </w:tc>
        <w:tc>
          <w:tcPr>
            <w:tcW w:w="1474"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(0.9,1]</w:t>
            </w:r>
          </w:p>
        </w:tc>
      </w:tr>
      <w:tr>
        <w:tblPrEx>
          <w:tblCellMar>
            <w:top w:w="0" w:type="dxa"/>
            <w:left w:w="0" w:type="dxa"/>
            <w:bottom w:w="0" w:type="dxa"/>
            <w:right w:w="0" w:type="dxa"/>
          </w:tblCellMar>
        </w:tblPrEx>
        <w:trPr>
          <w:trHeight w:val="1347" w:hRule="exact"/>
        </w:trPr>
        <w:tc>
          <w:tcPr>
            <w:tcW w:w="1846"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评分</w:t>
            </w:r>
          </w:p>
        </w:tc>
        <w:tc>
          <w:tcPr>
            <w:tcW w:w="1474"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5</w:t>
            </w:r>
          </w:p>
        </w:tc>
        <w:tc>
          <w:tcPr>
            <w:tcW w:w="1474"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4</w:t>
            </w:r>
          </w:p>
        </w:tc>
        <w:tc>
          <w:tcPr>
            <w:tcW w:w="1474"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3</w:t>
            </w:r>
          </w:p>
        </w:tc>
        <w:tc>
          <w:tcPr>
            <w:tcW w:w="1474"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2</w:t>
            </w:r>
          </w:p>
        </w:tc>
        <w:tc>
          <w:tcPr>
            <w:tcW w:w="1474"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w:t>
            </w:r>
          </w:p>
        </w:tc>
      </w:tr>
    </w:tbl>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偿债能力评分=资产负债率评分。</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4、关于发展潜力指标</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发展潜力由研发投入、营销投入和市场占有率三项指标衡量。</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1）研发投入</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研发投入效果以产品质量指数衡量，质量指数越高，研发投入效果越好，评分越高。</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drawing>
          <wp:inline distT="0" distB="0" distL="114300" distR="114300">
            <wp:extent cx="3348990" cy="514350"/>
            <wp:effectExtent l="0" t="0" r="381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3348990" cy="514350"/>
                    </a:xfrm>
                    <a:prstGeom prst="rect">
                      <a:avLst/>
                    </a:prstGeom>
                    <a:noFill/>
                    <a:ln>
                      <a:noFill/>
                    </a:ln>
                  </pic:spPr>
                </pic:pic>
              </a:graphicData>
            </a:graphic>
          </wp:inline>
        </w:drawing>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如果该公司第n季末质量指数等于0或者第n季末最高质量指数等于0，则研发投入评分为0。</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2）营销投入</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营销投入效果以产品品牌指数来衡量，品牌指数越高，营销投入效果越好，评分越高。</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判定公司是否经营某市场的依据：如果某公司在最后3个季度（第6、7、8季度）没有投入任何营销费用，系统判定该公司已经放弃该市场，该市场不计算营销投入评分。</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drawing>
          <wp:inline distT="0" distB="0" distL="114300" distR="114300">
            <wp:extent cx="3747135" cy="527685"/>
            <wp:effectExtent l="0" t="0" r="5715" b="571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3747135" cy="527685"/>
                    </a:xfrm>
                    <a:prstGeom prst="rect">
                      <a:avLst/>
                    </a:prstGeom>
                    <a:noFill/>
                    <a:ln>
                      <a:noFill/>
                    </a:ln>
                  </pic:spPr>
                </pic:pic>
              </a:graphicData>
            </a:graphic>
          </wp:inline>
        </w:drawing>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营销投入评分=公司所经营的各个市场营销投入评分的平均值</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如果该公司某市场第n季末品牌指数等于0或者某市场第n季末最高品牌指数等于0，则该公司某市场营销投入评分为0。</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3）市场占有率</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市场占有率以该公司第n季末总市场占有率来衡量，市场占有率越高，评分越高。</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drawing>
          <wp:inline distT="0" distB="0" distL="114300" distR="114300">
            <wp:extent cx="3446780" cy="894080"/>
            <wp:effectExtent l="0" t="0" r="1270" b="127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3446780" cy="894080"/>
                    </a:xfrm>
                    <a:prstGeom prst="rect">
                      <a:avLst/>
                    </a:prstGeom>
                    <a:noFill/>
                    <a:ln>
                      <a:noFill/>
                    </a:ln>
                  </pic:spPr>
                </pic:pic>
              </a:graphicData>
            </a:graphic>
          </wp:inline>
        </w:drawing>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如果该公司第n季末市场占有率等于0或者第n季末最高市场占有率等于0，则市场占有率评分为0。</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发展潜力评分=研发投入评分+营销投入评分+市场占有率评分。</w:t>
      </w:r>
    </w:p>
    <w:p>
      <w:pPr>
        <w:pStyle w:val="2"/>
        <w:numPr>
          <w:ilvl w:val="0"/>
          <w:numId w:val="7"/>
        </w:numPr>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关于团队表现指标</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团队表现按采购表现、生产表现、财务表现等相关对应指标，满分为5分，采用扣分制，按实际发生扣分项目和次数进行累计扣减，扣完为止，具体扣分项如下：</w:t>
      </w:r>
    </w:p>
    <w:tbl>
      <w:tblPr>
        <w:tblStyle w:val="3"/>
        <w:tblW w:w="0" w:type="auto"/>
        <w:tblInd w:w="216" w:type="dxa"/>
        <w:tblLayout w:type="fixed"/>
        <w:tblCellMar>
          <w:top w:w="0" w:type="dxa"/>
          <w:left w:w="0" w:type="dxa"/>
          <w:bottom w:w="0" w:type="dxa"/>
          <w:right w:w="0" w:type="dxa"/>
        </w:tblCellMar>
      </w:tblPr>
      <w:tblGrid>
        <w:gridCol w:w="898"/>
        <w:gridCol w:w="1788"/>
        <w:gridCol w:w="2101"/>
        <w:gridCol w:w="1227"/>
        <w:gridCol w:w="2208"/>
      </w:tblGrid>
      <w:tr>
        <w:tblPrEx>
          <w:tblCellMar>
            <w:top w:w="0" w:type="dxa"/>
            <w:left w:w="0" w:type="dxa"/>
            <w:bottom w:w="0" w:type="dxa"/>
            <w:right w:w="0" w:type="dxa"/>
          </w:tblCellMar>
        </w:tblPrEx>
        <w:trPr>
          <w:trHeight w:val="1262" w:hRule="exact"/>
        </w:trPr>
        <w:tc>
          <w:tcPr>
            <w:tcW w:w="89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序号</w:t>
            </w:r>
          </w:p>
        </w:tc>
        <w:tc>
          <w:tcPr>
            <w:tcW w:w="3889" w:type="dxa"/>
            <w:gridSpan w:val="2"/>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扣分项目</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分值</w:t>
            </w:r>
          </w:p>
        </w:tc>
        <w:tc>
          <w:tcPr>
            <w:tcW w:w="220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备注</w:t>
            </w:r>
          </w:p>
        </w:tc>
      </w:tr>
      <w:tr>
        <w:tblPrEx>
          <w:tblCellMar>
            <w:top w:w="0" w:type="dxa"/>
            <w:left w:w="0" w:type="dxa"/>
            <w:bottom w:w="0" w:type="dxa"/>
            <w:right w:w="0" w:type="dxa"/>
          </w:tblCellMar>
        </w:tblPrEx>
        <w:trPr>
          <w:trHeight w:val="634" w:hRule="exact"/>
        </w:trPr>
        <w:tc>
          <w:tcPr>
            <w:tcW w:w="89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w:t>
            </w:r>
          </w:p>
        </w:tc>
        <w:tc>
          <w:tcPr>
            <w:tcW w:w="1788" w:type="dxa"/>
            <w:vMerge w:val="restart"/>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非正常负债数值</w:t>
            </w:r>
          </w:p>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（万元）</w:t>
            </w:r>
          </w:p>
        </w:tc>
        <w:tc>
          <w:tcPr>
            <w:tcW w:w="2101"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[0，50]</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0分</w:t>
            </w:r>
          </w:p>
        </w:tc>
        <w:tc>
          <w:tcPr>
            <w:tcW w:w="220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按次扣分累加</w:t>
            </w:r>
          </w:p>
        </w:tc>
      </w:tr>
      <w:tr>
        <w:tblPrEx>
          <w:tblCellMar>
            <w:top w:w="0" w:type="dxa"/>
            <w:left w:w="0" w:type="dxa"/>
            <w:bottom w:w="0" w:type="dxa"/>
            <w:right w:w="0" w:type="dxa"/>
          </w:tblCellMar>
        </w:tblPrEx>
        <w:trPr>
          <w:trHeight w:val="634" w:hRule="exact"/>
        </w:trPr>
        <w:tc>
          <w:tcPr>
            <w:tcW w:w="89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2</w:t>
            </w:r>
          </w:p>
        </w:tc>
        <w:tc>
          <w:tcPr>
            <w:tcW w:w="1788" w:type="dxa"/>
            <w:vMerge w:val="continue"/>
            <w:tcBorders>
              <w:top w:val="single" w:color="000000" w:sz="4" w:space="0"/>
              <w:left w:val="single" w:color="000000" w:sz="4" w:space="0"/>
              <w:bottom w:val="single" w:color="000000" w:sz="4" w:space="0"/>
              <w:right w:val="single" w:color="000000" w:sz="4" w:space="0"/>
            </w:tcBorders>
          </w:tcPr>
          <w:p>
            <w:pPr>
              <w:pStyle w:val="2"/>
              <w:ind w:firstLine="640"/>
              <w:rPr>
                <w:rFonts w:ascii="仿宋_GB2312" w:hAnsi="Calibri" w:eastAsia="仿宋_GB2312" w:cs="黑体"/>
                <w:sz w:val="32"/>
                <w:szCs w:val="32"/>
                <w:lang w:eastAsia="zh-CN"/>
              </w:rPr>
            </w:pPr>
          </w:p>
        </w:tc>
        <w:tc>
          <w:tcPr>
            <w:tcW w:w="2101"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(50，100]</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0.05分</w:t>
            </w:r>
          </w:p>
        </w:tc>
        <w:tc>
          <w:tcPr>
            <w:tcW w:w="220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按次扣分累加</w:t>
            </w:r>
          </w:p>
        </w:tc>
      </w:tr>
      <w:tr>
        <w:tblPrEx>
          <w:tblCellMar>
            <w:top w:w="0" w:type="dxa"/>
            <w:left w:w="0" w:type="dxa"/>
            <w:bottom w:w="0" w:type="dxa"/>
            <w:right w:w="0" w:type="dxa"/>
          </w:tblCellMar>
        </w:tblPrEx>
        <w:trPr>
          <w:trHeight w:val="634" w:hRule="exact"/>
        </w:trPr>
        <w:tc>
          <w:tcPr>
            <w:tcW w:w="89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3</w:t>
            </w:r>
          </w:p>
        </w:tc>
        <w:tc>
          <w:tcPr>
            <w:tcW w:w="1788" w:type="dxa"/>
            <w:vMerge w:val="continue"/>
            <w:tcBorders>
              <w:top w:val="single" w:color="000000" w:sz="4" w:space="0"/>
              <w:left w:val="single" w:color="000000" w:sz="4" w:space="0"/>
              <w:bottom w:val="single" w:color="000000" w:sz="4" w:space="0"/>
              <w:right w:val="single" w:color="000000" w:sz="4" w:space="0"/>
            </w:tcBorders>
          </w:tcPr>
          <w:p>
            <w:pPr>
              <w:pStyle w:val="2"/>
              <w:ind w:firstLine="640"/>
              <w:rPr>
                <w:rFonts w:ascii="仿宋_GB2312" w:hAnsi="Calibri" w:eastAsia="仿宋_GB2312" w:cs="黑体"/>
                <w:sz w:val="32"/>
                <w:szCs w:val="32"/>
                <w:lang w:eastAsia="zh-CN"/>
              </w:rPr>
            </w:pPr>
          </w:p>
        </w:tc>
        <w:tc>
          <w:tcPr>
            <w:tcW w:w="2101"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(100，200]</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0.10分</w:t>
            </w:r>
          </w:p>
        </w:tc>
        <w:tc>
          <w:tcPr>
            <w:tcW w:w="220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按次扣分累加</w:t>
            </w:r>
          </w:p>
        </w:tc>
      </w:tr>
      <w:tr>
        <w:tblPrEx>
          <w:tblCellMar>
            <w:top w:w="0" w:type="dxa"/>
            <w:left w:w="0" w:type="dxa"/>
            <w:bottom w:w="0" w:type="dxa"/>
            <w:right w:w="0" w:type="dxa"/>
          </w:tblCellMar>
        </w:tblPrEx>
        <w:trPr>
          <w:trHeight w:val="704" w:hRule="exact"/>
        </w:trPr>
        <w:tc>
          <w:tcPr>
            <w:tcW w:w="89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4</w:t>
            </w:r>
          </w:p>
        </w:tc>
        <w:tc>
          <w:tcPr>
            <w:tcW w:w="1788" w:type="dxa"/>
            <w:vMerge w:val="continue"/>
            <w:tcBorders>
              <w:top w:val="single" w:color="000000" w:sz="4" w:space="0"/>
              <w:left w:val="single" w:color="000000" w:sz="4" w:space="0"/>
              <w:bottom w:val="single" w:color="000000" w:sz="4" w:space="0"/>
              <w:right w:val="single" w:color="000000" w:sz="4" w:space="0"/>
            </w:tcBorders>
          </w:tcPr>
          <w:p>
            <w:pPr>
              <w:pStyle w:val="2"/>
              <w:ind w:firstLine="640"/>
              <w:rPr>
                <w:rFonts w:ascii="仿宋_GB2312" w:hAnsi="Calibri" w:eastAsia="仿宋_GB2312" w:cs="黑体"/>
                <w:sz w:val="32"/>
                <w:szCs w:val="32"/>
                <w:lang w:eastAsia="zh-CN"/>
              </w:rPr>
            </w:pPr>
          </w:p>
        </w:tc>
        <w:tc>
          <w:tcPr>
            <w:tcW w:w="2101"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(200，+∞)</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0.15分</w:t>
            </w:r>
          </w:p>
        </w:tc>
        <w:tc>
          <w:tcPr>
            <w:tcW w:w="220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按次扣分累加</w:t>
            </w:r>
          </w:p>
        </w:tc>
      </w:tr>
      <w:tr>
        <w:tblPrEx>
          <w:tblCellMar>
            <w:top w:w="0" w:type="dxa"/>
            <w:left w:w="0" w:type="dxa"/>
            <w:bottom w:w="0" w:type="dxa"/>
            <w:right w:w="0" w:type="dxa"/>
          </w:tblCellMar>
        </w:tblPrEx>
        <w:trPr>
          <w:trHeight w:val="634" w:hRule="exact"/>
        </w:trPr>
        <w:tc>
          <w:tcPr>
            <w:tcW w:w="89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5</w:t>
            </w:r>
          </w:p>
        </w:tc>
        <w:tc>
          <w:tcPr>
            <w:tcW w:w="1788" w:type="dxa"/>
            <w:vMerge w:val="restart"/>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借款剩余值（万元）</w:t>
            </w:r>
          </w:p>
        </w:tc>
        <w:tc>
          <w:tcPr>
            <w:tcW w:w="2101"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[0，100]</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0分</w:t>
            </w:r>
          </w:p>
        </w:tc>
        <w:tc>
          <w:tcPr>
            <w:tcW w:w="220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按次扣分累加</w:t>
            </w:r>
          </w:p>
        </w:tc>
      </w:tr>
      <w:tr>
        <w:tblPrEx>
          <w:tblCellMar>
            <w:top w:w="0" w:type="dxa"/>
            <w:left w:w="0" w:type="dxa"/>
            <w:bottom w:w="0" w:type="dxa"/>
            <w:right w:w="0" w:type="dxa"/>
          </w:tblCellMar>
        </w:tblPrEx>
        <w:trPr>
          <w:trHeight w:val="634" w:hRule="exact"/>
        </w:trPr>
        <w:tc>
          <w:tcPr>
            <w:tcW w:w="89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6</w:t>
            </w:r>
          </w:p>
        </w:tc>
        <w:tc>
          <w:tcPr>
            <w:tcW w:w="1788" w:type="dxa"/>
            <w:vMerge w:val="continue"/>
            <w:tcBorders>
              <w:top w:val="single" w:color="000000" w:sz="4" w:space="0"/>
              <w:left w:val="single" w:color="000000" w:sz="4" w:space="0"/>
              <w:bottom w:val="single" w:color="000000" w:sz="4" w:space="0"/>
              <w:right w:val="single" w:color="000000" w:sz="4" w:space="0"/>
            </w:tcBorders>
          </w:tcPr>
          <w:p>
            <w:pPr>
              <w:pStyle w:val="2"/>
              <w:ind w:firstLine="640"/>
              <w:rPr>
                <w:rFonts w:ascii="仿宋_GB2312" w:hAnsi="Calibri" w:eastAsia="仿宋_GB2312" w:cs="黑体"/>
                <w:sz w:val="32"/>
                <w:szCs w:val="32"/>
                <w:lang w:eastAsia="zh-CN"/>
              </w:rPr>
            </w:pPr>
          </w:p>
        </w:tc>
        <w:tc>
          <w:tcPr>
            <w:tcW w:w="2101"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(100，200]</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0.05分</w:t>
            </w:r>
          </w:p>
        </w:tc>
        <w:tc>
          <w:tcPr>
            <w:tcW w:w="220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按次扣分累加</w:t>
            </w:r>
          </w:p>
        </w:tc>
      </w:tr>
      <w:tr>
        <w:tblPrEx>
          <w:tblCellMar>
            <w:top w:w="0" w:type="dxa"/>
            <w:left w:w="0" w:type="dxa"/>
            <w:bottom w:w="0" w:type="dxa"/>
            <w:right w:w="0" w:type="dxa"/>
          </w:tblCellMar>
        </w:tblPrEx>
        <w:trPr>
          <w:trHeight w:val="634" w:hRule="exact"/>
        </w:trPr>
        <w:tc>
          <w:tcPr>
            <w:tcW w:w="89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7</w:t>
            </w:r>
          </w:p>
        </w:tc>
        <w:tc>
          <w:tcPr>
            <w:tcW w:w="1788" w:type="dxa"/>
            <w:vMerge w:val="continue"/>
            <w:tcBorders>
              <w:top w:val="single" w:color="000000" w:sz="4" w:space="0"/>
              <w:left w:val="single" w:color="000000" w:sz="4" w:space="0"/>
              <w:bottom w:val="single" w:color="000000" w:sz="4" w:space="0"/>
              <w:right w:val="single" w:color="000000" w:sz="4" w:space="0"/>
            </w:tcBorders>
          </w:tcPr>
          <w:p>
            <w:pPr>
              <w:pStyle w:val="2"/>
              <w:ind w:firstLine="640"/>
              <w:rPr>
                <w:rFonts w:ascii="仿宋_GB2312" w:hAnsi="Calibri" w:eastAsia="仿宋_GB2312" w:cs="黑体"/>
                <w:sz w:val="32"/>
                <w:szCs w:val="32"/>
                <w:lang w:eastAsia="zh-CN"/>
              </w:rPr>
            </w:pPr>
          </w:p>
        </w:tc>
        <w:tc>
          <w:tcPr>
            <w:tcW w:w="2101"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(200，300]</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0.10分</w:t>
            </w:r>
          </w:p>
        </w:tc>
        <w:tc>
          <w:tcPr>
            <w:tcW w:w="220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按次扣分累加</w:t>
            </w:r>
          </w:p>
        </w:tc>
      </w:tr>
      <w:tr>
        <w:tblPrEx>
          <w:tblCellMar>
            <w:top w:w="0" w:type="dxa"/>
            <w:left w:w="0" w:type="dxa"/>
            <w:bottom w:w="0" w:type="dxa"/>
            <w:right w:w="0" w:type="dxa"/>
          </w:tblCellMar>
        </w:tblPrEx>
        <w:trPr>
          <w:trHeight w:val="634" w:hRule="exact"/>
        </w:trPr>
        <w:tc>
          <w:tcPr>
            <w:tcW w:w="89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8</w:t>
            </w:r>
          </w:p>
        </w:tc>
        <w:tc>
          <w:tcPr>
            <w:tcW w:w="1788" w:type="dxa"/>
            <w:vMerge w:val="continue"/>
            <w:tcBorders>
              <w:top w:val="single" w:color="000000" w:sz="4" w:space="0"/>
              <w:left w:val="single" w:color="000000" w:sz="4" w:space="0"/>
              <w:bottom w:val="single" w:color="000000" w:sz="4" w:space="0"/>
              <w:right w:val="single" w:color="000000" w:sz="4" w:space="0"/>
            </w:tcBorders>
          </w:tcPr>
          <w:p>
            <w:pPr>
              <w:pStyle w:val="2"/>
              <w:ind w:firstLine="640"/>
              <w:rPr>
                <w:rFonts w:ascii="仿宋_GB2312" w:hAnsi="Calibri" w:eastAsia="仿宋_GB2312" w:cs="黑体"/>
                <w:sz w:val="32"/>
                <w:szCs w:val="32"/>
                <w:lang w:eastAsia="zh-CN"/>
              </w:rPr>
            </w:pPr>
          </w:p>
        </w:tc>
        <w:tc>
          <w:tcPr>
            <w:tcW w:w="2101"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(300，+∞)</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0.15分</w:t>
            </w:r>
          </w:p>
        </w:tc>
        <w:tc>
          <w:tcPr>
            <w:tcW w:w="220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按次扣分累加</w:t>
            </w:r>
          </w:p>
        </w:tc>
      </w:tr>
      <w:tr>
        <w:tblPrEx>
          <w:tblCellMar>
            <w:top w:w="0" w:type="dxa"/>
            <w:left w:w="0" w:type="dxa"/>
            <w:bottom w:w="0" w:type="dxa"/>
            <w:right w:w="0" w:type="dxa"/>
          </w:tblCellMar>
        </w:tblPrEx>
        <w:trPr>
          <w:trHeight w:val="634" w:hRule="exact"/>
        </w:trPr>
        <w:tc>
          <w:tcPr>
            <w:tcW w:w="89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9</w:t>
            </w:r>
          </w:p>
        </w:tc>
        <w:tc>
          <w:tcPr>
            <w:tcW w:w="3889" w:type="dxa"/>
            <w:gridSpan w:val="2"/>
            <w:tcBorders>
              <w:top w:val="single" w:color="000000" w:sz="4" w:space="0"/>
              <w:left w:val="single" w:color="000000" w:sz="4" w:space="0"/>
              <w:bottom w:val="single" w:color="000000" w:sz="4" w:space="0"/>
              <w:right w:val="single" w:color="000000" w:sz="4" w:space="0"/>
            </w:tcBorders>
          </w:tcPr>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原材料非正常采购</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0.2分</w:t>
            </w:r>
          </w:p>
        </w:tc>
        <w:tc>
          <w:tcPr>
            <w:tcW w:w="220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按次扣分累加</w:t>
            </w:r>
          </w:p>
        </w:tc>
      </w:tr>
      <w:tr>
        <w:tblPrEx>
          <w:tblCellMar>
            <w:top w:w="0" w:type="dxa"/>
            <w:left w:w="0" w:type="dxa"/>
            <w:bottom w:w="0" w:type="dxa"/>
            <w:right w:w="0" w:type="dxa"/>
          </w:tblCellMar>
        </w:tblPrEx>
        <w:trPr>
          <w:trHeight w:val="1124" w:hRule="exact"/>
        </w:trPr>
        <w:tc>
          <w:tcPr>
            <w:tcW w:w="89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10</w:t>
            </w:r>
          </w:p>
        </w:tc>
        <w:tc>
          <w:tcPr>
            <w:tcW w:w="3889" w:type="dxa"/>
            <w:gridSpan w:val="2"/>
            <w:tcBorders>
              <w:top w:val="single" w:color="000000" w:sz="4" w:space="0"/>
              <w:left w:val="single" w:color="000000" w:sz="4" w:space="0"/>
              <w:bottom w:val="single" w:color="000000" w:sz="4" w:space="0"/>
              <w:right w:val="single" w:color="000000" w:sz="4" w:space="0"/>
            </w:tcBorders>
          </w:tcPr>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计划生产量与实际生产量不符（大于等于10个）</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0.5分</w:t>
            </w:r>
          </w:p>
        </w:tc>
        <w:tc>
          <w:tcPr>
            <w:tcW w:w="220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按次扣分累加</w:t>
            </w:r>
          </w:p>
        </w:tc>
      </w:tr>
    </w:tbl>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经营绩效得分=盈利能力评分+偿债能力评分+发展潜力评分+团队表现评分</w:t>
      </w:r>
    </w:p>
    <w:p>
      <w:pPr>
        <w:pStyle w:val="2"/>
        <w:ind w:firstLine="640"/>
      </w:pPr>
      <w:r>
        <w:rPr>
          <w:rFonts w:hint="eastAsia" w:ascii="仿宋_GB2312" w:hAnsi="Calibri" w:eastAsia="仿宋_GB2312" w:cs="黑体"/>
          <w:sz w:val="32"/>
          <w:szCs w:val="32"/>
          <w:lang w:eastAsia="zh-CN"/>
        </w:rPr>
        <w:t>注意：如果参赛团队出现破产情况，则经营绩效得分为0分。</w:t>
      </w:r>
    </w:p>
    <w:p/>
    <w:sectPr>
      <w:pgSz w:w="11906" w:h="16838"/>
      <w:pgMar w:top="1308" w:right="1497" w:bottom="1357" w:left="1574" w:header="0" w:footer="0"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13FDA"/>
    <w:multiLevelType w:val="singleLevel"/>
    <w:tmpl w:val="BF613FDA"/>
    <w:lvl w:ilvl="0" w:tentative="0">
      <w:start w:val="8"/>
      <w:numFmt w:val="decimal"/>
      <w:suff w:val="nothing"/>
      <w:lvlText w:val="%1、"/>
      <w:lvlJc w:val="left"/>
    </w:lvl>
  </w:abstractNum>
  <w:abstractNum w:abstractNumId="1">
    <w:nsid w:val="C6FD605F"/>
    <w:multiLevelType w:val="singleLevel"/>
    <w:tmpl w:val="C6FD605F"/>
    <w:lvl w:ilvl="0" w:tentative="0">
      <w:start w:val="3"/>
      <w:numFmt w:val="decimal"/>
      <w:suff w:val="nothing"/>
      <w:lvlText w:val="%1、"/>
      <w:lvlJc w:val="left"/>
    </w:lvl>
  </w:abstractNum>
  <w:abstractNum w:abstractNumId="2">
    <w:nsid w:val="D93FE558"/>
    <w:multiLevelType w:val="singleLevel"/>
    <w:tmpl w:val="D93FE558"/>
    <w:lvl w:ilvl="0" w:tentative="0">
      <w:start w:val="3"/>
      <w:numFmt w:val="decimal"/>
      <w:suff w:val="nothing"/>
      <w:lvlText w:val="%1、"/>
      <w:lvlJc w:val="left"/>
    </w:lvl>
  </w:abstractNum>
  <w:abstractNum w:abstractNumId="3">
    <w:nsid w:val="E539BED0"/>
    <w:multiLevelType w:val="singleLevel"/>
    <w:tmpl w:val="E539BED0"/>
    <w:lvl w:ilvl="0" w:tentative="0">
      <w:start w:val="2"/>
      <w:numFmt w:val="decimal"/>
      <w:suff w:val="nothing"/>
      <w:lvlText w:val="%1、"/>
      <w:lvlJc w:val="left"/>
    </w:lvl>
  </w:abstractNum>
  <w:abstractNum w:abstractNumId="4">
    <w:nsid w:val="E582425E"/>
    <w:multiLevelType w:val="singleLevel"/>
    <w:tmpl w:val="E582425E"/>
    <w:lvl w:ilvl="0" w:tentative="0">
      <w:start w:val="2"/>
      <w:numFmt w:val="decimal"/>
      <w:suff w:val="nothing"/>
      <w:lvlText w:val="%1、"/>
      <w:lvlJc w:val="left"/>
    </w:lvl>
  </w:abstractNum>
  <w:abstractNum w:abstractNumId="5">
    <w:nsid w:val="1E40D380"/>
    <w:multiLevelType w:val="singleLevel"/>
    <w:tmpl w:val="1E40D380"/>
    <w:lvl w:ilvl="0" w:tentative="0">
      <w:start w:val="2"/>
      <w:numFmt w:val="decimal"/>
      <w:suff w:val="nothing"/>
      <w:lvlText w:val="%1、"/>
      <w:lvlJc w:val="left"/>
    </w:lvl>
  </w:abstractNum>
  <w:abstractNum w:abstractNumId="6">
    <w:nsid w:val="43ED2458"/>
    <w:multiLevelType w:val="singleLevel"/>
    <w:tmpl w:val="43ED2458"/>
    <w:lvl w:ilvl="0" w:tentative="0">
      <w:start w:val="3"/>
      <w:numFmt w:val="decimal"/>
      <w:suff w:val="nothing"/>
      <w:lvlText w:val="%1、"/>
      <w:lvlJc w:val="left"/>
    </w:lvl>
  </w:abstractNum>
  <w:num w:numId="1">
    <w:abstractNumId w:val="6"/>
  </w:num>
  <w:num w:numId="2">
    <w:abstractNumId w:val="0"/>
  </w:num>
  <w:num w:numId="3">
    <w:abstractNumId w:val="2"/>
  </w:num>
  <w:num w:numId="4">
    <w:abstractNumId w:val="4"/>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wOTdiZmM5ZGY5MzljOTZmYjc2ODkwNWUwNzNiODIifQ=="/>
  </w:docVars>
  <w:rsids>
    <w:rsidRoot w:val="2D502FDE"/>
    <w:rsid w:val="2D502FDE"/>
    <w:rsid w:val="3C584288"/>
    <w:rsid w:val="598A11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US" w:eastAsia="en-US"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pPr>
      <w:spacing w:line="360" w:lineRule="auto"/>
      <w:ind w:firstLine="636" w:firstLineChars="200"/>
    </w:pPr>
    <w:rPr>
      <w:sz w:val="30"/>
      <w:szCs w:val="30"/>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7746</Words>
  <Characters>8312</Characters>
  <Lines>0</Lines>
  <Paragraphs>0</Paragraphs>
  <TotalTime>1</TotalTime>
  <ScaleCrop>false</ScaleCrop>
  <LinksUpToDate>false</LinksUpToDate>
  <CharactersWithSpaces>8314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2023-06-27T10:09:00Z</dcterms:created>
  <dc:creator>Lym</dc:creator>
  <cp:lastModifiedBy>Lym</cp:lastModifiedBy>
  <dcterms:modified xsi:type="dcterms:W3CDTF">2023-06-27T11:21:01Z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1A984F2685034591AE04DF3CB04E34B2_11</vt:lpwstr>
  </property>
</Properties>
</file>